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5610" w14:textId="39E397C6" w:rsidR="00E2348C" w:rsidRDefault="00144F0E" w:rsidP="00E2348C">
      <w:pPr>
        <w:rPr>
          <w:b/>
          <w:bCs/>
          <w:sz w:val="40"/>
          <w:szCs w:val="40"/>
        </w:rPr>
      </w:pPr>
      <w:r w:rsidRPr="00144F0E">
        <w:rPr>
          <w:b/>
          <w:bCs/>
          <w:sz w:val="40"/>
          <w:szCs w:val="40"/>
        </w:rPr>
        <w:t>CHP</w:t>
      </w:r>
      <w:r w:rsidR="00E2348C" w:rsidRPr="00144F0E">
        <w:rPr>
          <w:b/>
          <w:bCs/>
          <w:sz w:val="40"/>
          <w:szCs w:val="40"/>
        </w:rPr>
        <w:t xml:space="preserve"> 300| Introduction to Community Health</w:t>
      </w:r>
    </w:p>
    <w:p w14:paraId="432E322E" w14:textId="074C54AB" w:rsidR="002C66B1" w:rsidRDefault="002C66B1" w:rsidP="00E2348C">
      <w:pPr>
        <w:rPr>
          <w:b/>
          <w:bCs/>
          <w:sz w:val="40"/>
          <w:szCs w:val="40"/>
        </w:rPr>
      </w:pPr>
      <w:r>
        <w:rPr>
          <w:b/>
          <w:bCs/>
          <w:sz w:val="40"/>
          <w:szCs w:val="40"/>
        </w:rPr>
        <w:t>Fall 2025 Syllabus</w:t>
      </w:r>
    </w:p>
    <w:sdt>
      <w:sdtPr>
        <w:rPr>
          <w:rFonts w:asciiTheme="minorHAnsi" w:eastAsiaTheme="minorHAnsi" w:hAnsiTheme="minorHAnsi" w:cstheme="minorBidi"/>
          <w:color w:val="auto"/>
          <w:spacing w:val="0"/>
          <w:kern w:val="0"/>
          <w:sz w:val="22"/>
          <w:szCs w:val="22"/>
        </w:rPr>
        <w:id w:val="-1363197192"/>
        <w:docPartObj>
          <w:docPartGallery w:val="Table of Contents"/>
          <w:docPartUnique/>
        </w:docPartObj>
      </w:sdtPr>
      <w:sdtEndPr>
        <w:rPr>
          <w:b/>
          <w:bCs/>
          <w:noProof/>
        </w:rPr>
      </w:sdtEndPr>
      <w:sdtContent>
        <w:p w14:paraId="71246A4C" w14:textId="1025DA34" w:rsidR="002C66B1" w:rsidRDefault="002C66B1">
          <w:pPr>
            <w:pStyle w:val="TOCHeading"/>
          </w:pPr>
        </w:p>
        <w:p w14:paraId="35F07184" w14:textId="49A6CB41" w:rsidR="000E3D8E" w:rsidRDefault="002C66B1">
          <w:pPr>
            <w:pStyle w:val="TOC1"/>
            <w:tabs>
              <w:tab w:val="right" w:leader="dot" w:pos="9350"/>
            </w:tabs>
            <w:rPr>
              <w:rFonts w:cstheme="minorBidi"/>
              <w:noProof/>
            </w:rPr>
          </w:pPr>
          <w:r>
            <w:fldChar w:fldCharType="begin"/>
          </w:r>
          <w:r>
            <w:instrText xml:space="preserve"> TOC \o "1-3" \h \z \u </w:instrText>
          </w:r>
          <w:r>
            <w:fldChar w:fldCharType="separate"/>
          </w:r>
          <w:hyperlink w:anchor="_Toc208488263" w:history="1">
            <w:r w:rsidR="000E3D8E" w:rsidRPr="00F9561A">
              <w:rPr>
                <w:rStyle w:val="Hyperlink"/>
                <w:b/>
                <w:bCs/>
                <w:smallCaps/>
                <w:noProof/>
                <w:spacing w:val="5"/>
              </w:rPr>
              <w:t>Professor Contact Information</w:t>
            </w:r>
            <w:r w:rsidR="000E3D8E">
              <w:rPr>
                <w:noProof/>
                <w:webHidden/>
              </w:rPr>
              <w:tab/>
            </w:r>
            <w:r w:rsidR="000E3D8E">
              <w:rPr>
                <w:noProof/>
                <w:webHidden/>
              </w:rPr>
              <w:fldChar w:fldCharType="begin"/>
            </w:r>
            <w:r w:rsidR="000E3D8E">
              <w:rPr>
                <w:noProof/>
                <w:webHidden/>
              </w:rPr>
              <w:instrText xml:space="preserve"> PAGEREF _Toc208488263 \h </w:instrText>
            </w:r>
            <w:r w:rsidR="000E3D8E">
              <w:rPr>
                <w:noProof/>
                <w:webHidden/>
              </w:rPr>
            </w:r>
            <w:r w:rsidR="000E3D8E">
              <w:rPr>
                <w:noProof/>
                <w:webHidden/>
              </w:rPr>
              <w:fldChar w:fldCharType="separate"/>
            </w:r>
            <w:r w:rsidR="000E3D8E">
              <w:rPr>
                <w:noProof/>
                <w:webHidden/>
              </w:rPr>
              <w:t>2</w:t>
            </w:r>
            <w:r w:rsidR="000E3D8E">
              <w:rPr>
                <w:noProof/>
                <w:webHidden/>
              </w:rPr>
              <w:fldChar w:fldCharType="end"/>
            </w:r>
          </w:hyperlink>
        </w:p>
        <w:p w14:paraId="643FAD71" w14:textId="33B8ABB9" w:rsidR="000E3D8E" w:rsidRDefault="000E3D8E">
          <w:pPr>
            <w:pStyle w:val="TOC1"/>
            <w:tabs>
              <w:tab w:val="right" w:leader="dot" w:pos="9350"/>
            </w:tabs>
            <w:rPr>
              <w:rFonts w:cstheme="minorBidi"/>
              <w:noProof/>
            </w:rPr>
          </w:pPr>
          <w:hyperlink w:anchor="_Toc208488264" w:history="1">
            <w:r w:rsidRPr="00F9561A">
              <w:rPr>
                <w:rStyle w:val="Hyperlink"/>
                <w:b/>
                <w:bCs/>
                <w:smallCaps/>
                <w:noProof/>
                <w:spacing w:val="5"/>
              </w:rPr>
              <w:t>Diversity, Equity, and Inclusion in Our Class</w:t>
            </w:r>
            <w:r>
              <w:rPr>
                <w:noProof/>
                <w:webHidden/>
              </w:rPr>
              <w:tab/>
            </w:r>
            <w:r>
              <w:rPr>
                <w:noProof/>
                <w:webHidden/>
              </w:rPr>
              <w:fldChar w:fldCharType="begin"/>
            </w:r>
            <w:r>
              <w:rPr>
                <w:noProof/>
                <w:webHidden/>
              </w:rPr>
              <w:instrText xml:space="preserve"> PAGEREF _Toc208488264 \h </w:instrText>
            </w:r>
            <w:r>
              <w:rPr>
                <w:noProof/>
                <w:webHidden/>
              </w:rPr>
            </w:r>
            <w:r>
              <w:rPr>
                <w:noProof/>
                <w:webHidden/>
              </w:rPr>
              <w:fldChar w:fldCharType="separate"/>
            </w:r>
            <w:r>
              <w:rPr>
                <w:noProof/>
                <w:webHidden/>
              </w:rPr>
              <w:t>2</w:t>
            </w:r>
            <w:r>
              <w:rPr>
                <w:noProof/>
                <w:webHidden/>
              </w:rPr>
              <w:fldChar w:fldCharType="end"/>
            </w:r>
          </w:hyperlink>
        </w:p>
        <w:p w14:paraId="79EDB5BE" w14:textId="187CDF39" w:rsidR="000E3D8E" w:rsidRDefault="000E3D8E">
          <w:pPr>
            <w:pStyle w:val="TOC1"/>
            <w:tabs>
              <w:tab w:val="right" w:leader="dot" w:pos="9350"/>
            </w:tabs>
            <w:rPr>
              <w:rFonts w:cstheme="minorBidi"/>
              <w:noProof/>
            </w:rPr>
          </w:pPr>
          <w:hyperlink w:anchor="_Toc208488265" w:history="1">
            <w:r w:rsidRPr="00F9561A">
              <w:rPr>
                <w:rStyle w:val="Hyperlink"/>
                <w:b/>
                <w:bCs/>
                <w:smallCaps/>
                <w:noProof/>
                <w:spacing w:val="5"/>
              </w:rPr>
              <w:t>Communication Policy</w:t>
            </w:r>
            <w:r>
              <w:rPr>
                <w:noProof/>
                <w:webHidden/>
              </w:rPr>
              <w:tab/>
            </w:r>
            <w:r>
              <w:rPr>
                <w:noProof/>
                <w:webHidden/>
              </w:rPr>
              <w:fldChar w:fldCharType="begin"/>
            </w:r>
            <w:r>
              <w:rPr>
                <w:noProof/>
                <w:webHidden/>
              </w:rPr>
              <w:instrText xml:space="preserve"> PAGEREF _Toc208488265 \h </w:instrText>
            </w:r>
            <w:r>
              <w:rPr>
                <w:noProof/>
                <w:webHidden/>
              </w:rPr>
            </w:r>
            <w:r>
              <w:rPr>
                <w:noProof/>
                <w:webHidden/>
              </w:rPr>
              <w:fldChar w:fldCharType="separate"/>
            </w:r>
            <w:r>
              <w:rPr>
                <w:noProof/>
                <w:webHidden/>
              </w:rPr>
              <w:t>2</w:t>
            </w:r>
            <w:r>
              <w:rPr>
                <w:noProof/>
                <w:webHidden/>
              </w:rPr>
              <w:fldChar w:fldCharType="end"/>
            </w:r>
          </w:hyperlink>
        </w:p>
        <w:p w14:paraId="2F62373B" w14:textId="44A9738D" w:rsidR="000E3D8E" w:rsidRDefault="000E3D8E">
          <w:pPr>
            <w:pStyle w:val="TOC1"/>
            <w:tabs>
              <w:tab w:val="right" w:leader="dot" w:pos="9350"/>
            </w:tabs>
            <w:rPr>
              <w:rFonts w:cstheme="minorBidi"/>
              <w:noProof/>
            </w:rPr>
          </w:pPr>
          <w:hyperlink w:anchor="_Toc208488266" w:history="1">
            <w:r w:rsidRPr="00F9561A">
              <w:rPr>
                <w:rStyle w:val="Hyperlink"/>
                <w:b/>
                <w:bCs/>
                <w:smallCaps/>
                <w:noProof/>
                <w:spacing w:val="5"/>
              </w:rPr>
              <w:t>General Class Information</w:t>
            </w:r>
            <w:r>
              <w:rPr>
                <w:noProof/>
                <w:webHidden/>
              </w:rPr>
              <w:tab/>
            </w:r>
            <w:r>
              <w:rPr>
                <w:noProof/>
                <w:webHidden/>
              </w:rPr>
              <w:fldChar w:fldCharType="begin"/>
            </w:r>
            <w:r>
              <w:rPr>
                <w:noProof/>
                <w:webHidden/>
              </w:rPr>
              <w:instrText xml:space="preserve"> PAGEREF _Toc208488266 \h </w:instrText>
            </w:r>
            <w:r>
              <w:rPr>
                <w:noProof/>
                <w:webHidden/>
              </w:rPr>
            </w:r>
            <w:r>
              <w:rPr>
                <w:noProof/>
                <w:webHidden/>
              </w:rPr>
              <w:fldChar w:fldCharType="separate"/>
            </w:r>
            <w:r>
              <w:rPr>
                <w:noProof/>
                <w:webHidden/>
              </w:rPr>
              <w:t>3</w:t>
            </w:r>
            <w:r>
              <w:rPr>
                <w:noProof/>
                <w:webHidden/>
              </w:rPr>
              <w:fldChar w:fldCharType="end"/>
            </w:r>
          </w:hyperlink>
        </w:p>
        <w:p w14:paraId="65ED99FD" w14:textId="4271877E" w:rsidR="000E3D8E" w:rsidRDefault="000E3D8E">
          <w:pPr>
            <w:pStyle w:val="TOC1"/>
            <w:tabs>
              <w:tab w:val="right" w:leader="dot" w:pos="9350"/>
            </w:tabs>
            <w:rPr>
              <w:rFonts w:cstheme="minorBidi"/>
              <w:noProof/>
            </w:rPr>
          </w:pPr>
          <w:hyperlink w:anchor="_Toc208488267" w:history="1">
            <w:r w:rsidRPr="00F9561A">
              <w:rPr>
                <w:rStyle w:val="Hyperlink"/>
                <w:b/>
                <w:bCs/>
                <w:smallCaps/>
                <w:noProof/>
                <w:spacing w:val="5"/>
              </w:rPr>
              <w:t>Learning Outcomes</w:t>
            </w:r>
            <w:r>
              <w:rPr>
                <w:noProof/>
                <w:webHidden/>
              </w:rPr>
              <w:tab/>
            </w:r>
            <w:r>
              <w:rPr>
                <w:noProof/>
                <w:webHidden/>
              </w:rPr>
              <w:fldChar w:fldCharType="begin"/>
            </w:r>
            <w:r>
              <w:rPr>
                <w:noProof/>
                <w:webHidden/>
              </w:rPr>
              <w:instrText xml:space="preserve"> PAGEREF _Toc208488267 \h </w:instrText>
            </w:r>
            <w:r>
              <w:rPr>
                <w:noProof/>
                <w:webHidden/>
              </w:rPr>
            </w:r>
            <w:r>
              <w:rPr>
                <w:noProof/>
                <w:webHidden/>
              </w:rPr>
              <w:fldChar w:fldCharType="separate"/>
            </w:r>
            <w:r>
              <w:rPr>
                <w:noProof/>
                <w:webHidden/>
              </w:rPr>
              <w:t>5</w:t>
            </w:r>
            <w:r>
              <w:rPr>
                <w:noProof/>
                <w:webHidden/>
              </w:rPr>
              <w:fldChar w:fldCharType="end"/>
            </w:r>
          </w:hyperlink>
        </w:p>
        <w:p w14:paraId="67396AA8" w14:textId="15F74761" w:rsidR="000E3D8E" w:rsidRDefault="000E3D8E">
          <w:pPr>
            <w:pStyle w:val="TOC3"/>
            <w:tabs>
              <w:tab w:val="right" w:leader="dot" w:pos="9350"/>
            </w:tabs>
            <w:rPr>
              <w:rFonts w:cstheme="minorBidi"/>
              <w:noProof/>
            </w:rPr>
          </w:pPr>
          <w:hyperlink w:anchor="_Toc208488268" w:history="1">
            <w:r w:rsidRPr="00F9561A">
              <w:rPr>
                <w:rStyle w:val="Hyperlink"/>
                <w:noProof/>
              </w:rPr>
              <w:t>Course Learning Objectives</w:t>
            </w:r>
            <w:r>
              <w:rPr>
                <w:noProof/>
                <w:webHidden/>
              </w:rPr>
              <w:tab/>
            </w:r>
            <w:r>
              <w:rPr>
                <w:noProof/>
                <w:webHidden/>
              </w:rPr>
              <w:fldChar w:fldCharType="begin"/>
            </w:r>
            <w:r>
              <w:rPr>
                <w:noProof/>
                <w:webHidden/>
              </w:rPr>
              <w:instrText xml:space="preserve"> PAGEREF _Toc208488268 \h </w:instrText>
            </w:r>
            <w:r>
              <w:rPr>
                <w:noProof/>
                <w:webHidden/>
              </w:rPr>
            </w:r>
            <w:r>
              <w:rPr>
                <w:noProof/>
                <w:webHidden/>
              </w:rPr>
              <w:fldChar w:fldCharType="separate"/>
            </w:r>
            <w:r>
              <w:rPr>
                <w:noProof/>
                <w:webHidden/>
              </w:rPr>
              <w:t>5</w:t>
            </w:r>
            <w:r>
              <w:rPr>
                <w:noProof/>
                <w:webHidden/>
              </w:rPr>
              <w:fldChar w:fldCharType="end"/>
            </w:r>
          </w:hyperlink>
        </w:p>
        <w:p w14:paraId="20BD9084" w14:textId="30B6B67D" w:rsidR="000E3D8E" w:rsidRDefault="000E3D8E">
          <w:pPr>
            <w:pStyle w:val="TOC3"/>
            <w:tabs>
              <w:tab w:val="right" w:leader="dot" w:pos="9350"/>
            </w:tabs>
            <w:rPr>
              <w:rFonts w:cstheme="minorBidi"/>
              <w:noProof/>
            </w:rPr>
          </w:pPr>
          <w:hyperlink w:anchor="_Toc208488269" w:history="1">
            <w:r w:rsidRPr="00F9561A">
              <w:rPr>
                <w:rStyle w:val="Hyperlink"/>
                <w:noProof/>
              </w:rPr>
              <w:t>Tacoma Community College Learning Objectives</w:t>
            </w:r>
            <w:r>
              <w:rPr>
                <w:noProof/>
                <w:webHidden/>
              </w:rPr>
              <w:tab/>
            </w:r>
            <w:r>
              <w:rPr>
                <w:noProof/>
                <w:webHidden/>
              </w:rPr>
              <w:fldChar w:fldCharType="begin"/>
            </w:r>
            <w:r>
              <w:rPr>
                <w:noProof/>
                <w:webHidden/>
              </w:rPr>
              <w:instrText xml:space="preserve"> PAGEREF _Toc208488269 \h </w:instrText>
            </w:r>
            <w:r>
              <w:rPr>
                <w:noProof/>
                <w:webHidden/>
              </w:rPr>
            </w:r>
            <w:r>
              <w:rPr>
                <w:noProof/>
                <w:webHidden/>
              </w:rPr>
              <w:fldChar w:fldCharType="separate"/>
            </w:r>
            <w:r>
              <w:rPr>
                <w:noProof/>
                <w:webHidden/>
              </w:rPr>
              <w:t>6</w:t>
            </w:r>
            <w:r>
              <w:rPr>
                <w:noProof/>
                <w:webHidden/>
              </w:rPr>
              <w:fldChar w:fldCharType="end"/>
            </w:r>
          </w:hyperlink>
        </w:p>
        <w:p w14:paraId="235DD77F" w14:textId="1800FF82" w:rsidR="000E3D8E" w:rsidRDefault="000E3D8E">
          <w:pPr>
            <w:pStyle w:val="TOC3"/>
            <w:tabs>
              <w:tab w:val="right" w:leader="dot" w:pos="9350"/>
            </w:tabs>
            <w:rPr>
              <w:rFonts w:cstheme="minorBidi"/>
              <w:noProof/>
            </w:rPr>
          </w:pPr>
          <w:hyperlink w:anchor="_Toc208488270" w:history="1">
            <w:r w:rsidRPr="00F9561A">
              <w:rPr>
                <w:rStyle w:val="Hyperlink"/>
                <w:noProof/>
              </w:rPr>
              <w:t>Instructional Methods Used</w:t>
            </w:r>
            <w:r>
              <w:rPr>
                <w:noProof/>
                <w:webHidden/>
              </w:rPr>
              <w:tab/>
            </w:r>
            <w:r>
              <w:rPr>
                <w:noProof/>
                <w:webHidden/>
              </w:rPr>
              <w:fldChar w:fldCharType="begin"/>
            </w:r>
            <w:r>
              <w:rPr>
                <w:noProof/>
                <w:webHidden/>
              </w:rPr>
              <w:instrText xml:space="preserve"> PAGEREF _Toc208488270 \h </w:instrText>
            </w:r>
            <w:r>
              <w:rPr>
                <w:noProof/>
                <w:webHidden/>
              </w:rPr>
            </w:r>
            <w:r>
              <w:rPr>
                <w:noProof/>
                <w:webHidden/>
              </w:rPr>
              <w:fldChar w:fldCharType="separate"/>
            </w:r>
            <w:r>
              <w:rPr>
                <w:noProof/>
                <w:webHidden/>
              </w:rPr>
              <w:t>6</w:t>
            </w:r>
            <w:r>
              <w:rPr>
                <w:noProof/>
                <w:webHidden/>
              </w:rPr>
              <w:fldChar w:fldCharType="end"/>
            </w:r>
          </w:hyperlink>
        </w:p>
        <w:p w14:paraId="6220D7CF" w14:textId="25B5252E" w:rsidR="000E3D8E" w:rsidRDefault="000E3D8E">
          <w:pPr>
            <w:pStyle w:val="TOC1"/>
            <w:tabs>
              <w:tab w:val="right" w:leader="dot" w:pos="9350"/>
            </w:tabs>
            <w:rPr>
              <w:rFonts w:cstheme="minorBidi"/>
              <w:noProof/>
            </w:rPr>
          </w:pPr>
          <w:hyperlink w:anchor="_Toc208488271" w:history="1">
            <w:r w:rsidRPr="00F9561A">
              <w:rPr>
                <w:rStyle w:val="Hyperlink"/>
                <w:b/>
                <w:bCs/>
                <w:smallCaps/>
                <w:noProof/>
                <w:spacing w:val="5"/>
              </w:rPr>
              <w:t>﻿Professor and Student Expectations</w:t>
            </w:r>
            <w:r>
              <w:rPr>
                <w:noProof/>
                <w:webHidden/>
              </w:rPr>
              <w:tab/>
            </w:r>
            <w:r>
              <w:rPr>
                <w:noProof/>
                <w:webHidden/>
              </w:rPr>
              <w:fldChar w:fldCharType="begin"/>
            </w:r>
            <w:r>
              <w:rPr>
                <w:noProof/>
                <w:webHidden/>
              </w:rPr>
              <w:instrText xml:space="preserve"> PAGEREF _Toc208488271 \h </w:instrText>
            </w:r>
            <w:r>
              <w:rPr>
                <w:noProof/>
                <w:webHidden/>
              </w:rPr>
            </w:r>
            <w:r>
              <w:rPr>
                <w:noProof/>
                <w:webHidden/>
              </w:rPr>
              <w:fldChar w:fldCharType="separate"/>
            </w:r>
            <w:r>
              <w:rPr>
                <w:noProof/>
                <w:webHidden/>
              </w:rPr>
              <w:t>7</w:t>
            </w:r>
            <w:r>
              <w:rPr>
                <w:noProof/>
                <w:webHidden/>
              </w:rPr>
              <w:fldChar w:fldCharType="end"/>
            </w:r>
          </w:hyperlink>
        </w:p>
        <w:p w14:paraId="210414A4" w14:textId="621233E4" w:rsidR="000E3D8E" w:rsidRDefault="000E3D8E">
          <w:pPr>
            <w:pStyle w:val="TOC3"/>
            <w:tabs>
              <w:tab w:val="right" w:leader="dot" w:pos="9350"/>
            </w:tabs>
            <w:rPr>
              <w:rFonts w:cstheme="minorBidi"/>
              <w:noProof/>
            </w:rPr>
          </w:pPr>
          <w:hyperlink w:anchor="_Toc208488272" w:history="1">
            <w:r w:rsidRPr="00F9561A">
              <w:rPr>
                <w:rStyle w:val="Hyperlink"/>
                <w:noProof/>
              </w:rPr>
              <w:t>﻿</w:t>
            </w:r>
            <w:r w:rsidRPr="00F9561A">
              <w:rPr>
                <w:rStyle w:val="Hyperlink"/>
                <w:noProof/>
                <w:lang w:val="en"/>
              </w:rPr>
              <w:t>Chosen Name and Pronouns</w:t>
            </w:r>
            <w:r>
              <w:rPr>
                <w:noProof/>
                <w:webHidden/>
              </w:rPr>
              <w:tab/>
            </w:r>
            <w:r>
              <w:rPr>
                <w:noProof/>
                <w:webHidden/>
              </w:rPr>
              <w:fldChar w:fldCharType="begin"/>
            </w:r>
            <w:r>
              <w:rPr>
                <w:noProof/>
                <w:webHidden/>
              </w:rPr>
              <w:instrText xml:space="preserve"> PAGEREF _Toc208488272 \h </w:instrText>
            </w:r>
            <w:r>
              <w:rPr>
                <w:noProof/>
                <w:webHidden/>
              </w:rPr>
            </w:r>
            <w:r>
              <w:rPr>
                <w:noProof/>
                <w:webHidden/>
              </w:rPr>
              <w:fldChar w:fldCharType="separate"/>
            </w:r>
            <w:r>
              <w:rPr>
                <w:noProof/>
                <w:webHidden/>
              </w:rPr>
              <w:t>7</w:t>
            </w:r>
            <w:r>
              <w:rPr>
                <w:noProof/>
                <w:webHidden/>
              </w:rPr>
              <w:fldChar w:fldCharType="end"/>
            </w:r>
          </w:hyperlink>
        </w:p>
        <w:p w14:paraId="34989565" w14:textId="7D03446B" w:rsidR="000E3D8E" w:rsidRDefault="000E3D8E">
          <w:pPr>
            <w:pStyle w:val="TOC3"/>
            <w:tabs>
              <w:tab w:val="right" w:leader="dot" w:pos="9350"/>
            </w:tabs>
            <w:rPr>
              <w:rFonts w:cstheme="minorBidi"/>
              <w:noProof/>
            </w:rPr>
          </w:pPr>
          <w:hyperlink w:anchor="_Toc208488273" w:history="1">
            <w:r w:rsidRPr="00F9561A">
              <w:rPr>
                <w:rStyle w:val="Hyperlink"/>
                <w:noProof/>
                <w:lang w:val="en"/>
              </w:rPr>
              <w:t>Professor Expectations</w:t>
            </w:r>
            <w:r>
              <w:rPr>
                <w:noProof/>
                <w:webHidden/>
              </w:rPr>
              <w:tab/>
            </w:r>
            <w:r>
              <w:rPr>
                <w:noProof/>
                <w:webHidden/>
              </w:rPr>
              <w:fldChar w:fldCharType="begin"/>
            </w:r>
            <w:r>
              <w:rPr>
                <w:noProof/>
                <w:webHidden/>
              </w:rPr>
              <w:instrText xml:space="preserve"> PAGEREF _Toc208488273 \h </w:instrText>
            </w:r>
            <w:r>
              <w:rPr>
                <w:noProof/>
                <w:webHidden/>
              </w:rPr>
            </w:r>
            <w:r>
              <w:rPr>
                <w:noProof/>
                <w:webHidden/>
              </w:rPr>
              <w:fldChar w:fldCharType="separate"/>
            </w:r>
            <w:r>
              <w:rPr>
                <w:noProof/>
                <w:webHidden/>
              </w:rPr>
              <w:t>7</w:t>
            </w:r>
            <w:r>
              <w:rPr>
                <w:noProof/>
                <w:webHidden/>
              </w:rPr>
              <w:fldChar w:fldCharType="end"/>
            </w:r>
          </w:hyperlink>
        </w:p>
        <w:p w14:paraId="5CA817E9" w14:textId="35F6CBBB" w:rsidR="000E3D8E" w:rsidRDefault="000E3D8E">
          <w:pPr>
            <w:pStyle w:val="TOC3"/>
            <w:tabs>
              <w:tab w:val="right" w:leader="dot" w:pos="9350"/>
            </w:tabs>
            <w:rPr>
              <w:rFonts w:cstheme="minorBidi"/>
              <w:noProof/>
            </w:rPr>
          </w:pPr>
          <w:hyperlink w:anchor="_Toc208488274" w:history="1">
            <w:r w:rsidRPr="00F9561A">
              <w:rPr>
                <w:rStyle w:val="Hyperlink"/>
                <w:noProof/>
              </w:rPr>
              <w:t>Student Expectations</w:t>
            </w:r>
            <w:r>
              <w:rPr>
                <w:noProof/>
                <w:webHidden/>
              </w:rPr>
              <w:tab/>
            </w:r>
            <w:r>
              <w:rPr>
                <w:noProof/>
                <w:webHidden/>
              </w:rPr>
              <w:fldChar w:fldCharType="begin"/>
            </w:r>
            <w:r>
              <w:rPr>
                <w:noProof/>
                <w:webHidden/>
              </w:rPr>
              <w:instrText xml:space="preserve"> PAGEREF _Toc208488274 \h </w:instrText>
            </w:r>
            <w:r>
              <w:rPr>
                <w:noProof/>
                <w:webHidden/>
              </w:rPr>
            </w:r>
            <w:r>
              <w:rPr>
                <w:noProof/>
                <w:webHidden/>
              </w:rPr>
              <w:fldChar w:fldCharType="separate"/>
            </w:r>
            <w:r>
              <w:rPr>
                <w:noProof/>
                <w:webHidden/>
              </w:rPr>
              <w:t>8</w:t>
            </w:r>
            <w:r>
              <w:rPr>
                <w:noProof/>
                <w:webHidden/>
              </w:rPr>
              <w:fldChar w:fldCharType="end"/>
            </w:r>
          </w:hyperlink>
        </w:p>
        <w:p w14:paraId="37AA25C7" w14:textId="070EB485" w:rsidR="000E3D8E" w:rsidRDefault="000E3D8E">
          <w:pPr>
            <w:pStyle w:val="TOC1"/>
            <w:tabs>
              <w:tab w:val="right" w:leader="dot" w:pos="9350"/>
            </w:tabs>
            <w:rPr>
              <w:rFonts w:cstheme="minorBidi"/>
              <w:noProof/>
            </w:rPr>
          </w:pPr>
          <w:hyperlink w:anchor="_Toc208488275" w:history="1">
            <w:r w:rsidRPr="00F9561A">
              <w:rPr>
                <w:rStyle w:val="Hyperlink"/>
                <w:b/>
                <w:bCs/>
                <w:smallCaps/>
                <w:noProof/>
                <w:spacing w:val="5"/>
              </w:rPr>
              <w:t>Recommended Study Habits</w:t>
            </w:r>
            <w:r>
              <w:rPr>
                <w:noProof/>
                <w:webHidden/>
              </w:rPr>
              <w:tab/>
            </w:r>
            <w:r>
              <w:rPr>
                <w:noProof/>
                <w:webHidden/>
              </w:rPr>
              <w:fldChar w:fldCharType="begin"/>
            </w:r>
            <w:r>
              <w:rPr>
                <w:noProof/>
                <w:webHidden/>
              </w:rPr>
              <w:instrText xml:space="preserve"> PAGEREF _Toc208488275 \h </w:instrText>
            </w:r>
            <w:r>
              <w:rPr>
                <w:noProof/>
                <w:webHidden/>
              </w:rPr>
            </w:r>
            <w:r>
              <w:rPr>
                <w:noProof/>
                <w:webHidden/>
              </w:rPr>
              <w:fldChar w:fldCharType="separate"/>
            </w:r>
            <w:r>
              <w:rPr>
                <w:noProof/>
                <w:webHidden/>
              </w:rPr>
              <w:t>8</w:t>
            </w:r>
            <w:r>
              <w:rPr>
                <w:noProof/>
                <w:webHidden/>
              </w:rPr>
              <w:fldChar w:fldCharType="end"/>
            </w:r>
          </w:hyperlink>
        </w:p>
        <w:p w14:paraId="15781EDC" w14:textId="5CC38D93" w:rsidR="000E3D8E" w:rsidRDefault="000E3D8E">
          <w:pPr>
            <w:pStyle w:val="TOC1"/>
            <w:tabs>
              <w:tab w:val="right" w:leader="dot" w:pos="9350"/>
            </w:tabs>
            <w:rPr>
              <w:rFonts w:cstheme="minorBidi"/>
              <w:noProof/>
            </w:rPr>
          </w:pPr>
          <w:hyperlink w:anchor="_Toc208488276" w:history="1">
            <w:r w:rsidRPr="00F9561A">
              <w:rPr>
                <w:rStyle w:val="Hyperlink"/>
                <w:b/>
                <w:bCs/>
                <w:smallCaps/>
                <w:noProof/>
                <w:spacing w:val="5"/>
                <w:lang w:val="en"/>
              </w:rPr>
              <w:t>Reasonable Accommodations for Religion/Conscience</w:t>
            </w:r>
            <w:r>
              <w:rPr>
                <w:noProof/>
                <w:webHidden/>
              </w:rPr>
              <w:tab/>
            </w:r>
            <w:r>
              <w:rPr>
                <w:noProof/>
                <w:webHidden/>
              </w:rPr>
              <w:fldChar w:fldCharType="begin"/>
            </w:r>
            <w:r>
              <w:rPr>
                <w:noProof/>
                <w:webHidden/>
              </w:rPr>
              <w:instrText xml:space="preserve"> PAGEREF _Toc208488276 \h </w:instrText>
            </w:r>
            <w:r>
              <w:rPr>
                <w:noProof/>
                <w:webHidden/>
              </w:rPr>
            </w:r>
            <w:r>
              <w:rPr>
                <w:noProof/>
                <w:webHidden/>
              </w:rPr>
              <w:fldChar w:fldCharType="separate"/>
            </w:r>
            <w:r>
              <w:rPr>
                <w:noProof/>
                <w:webHidden/>
              </w:rPr>
              <w:t>9</w:t>
            </w:r>
            <w:r>
              <w:rPr>
                <w:noProof/>
                <w:webHidden/>
              </w:rPr>
              <w:fldChar w:fldCharType="end"/>
            </w:r>
          </w:hyperlink>
        </w:p>
        <w:p w14:paraId="3C44900D" w14:textId="793E713B" w:rsidR="000E3D8E" w:rsidRDefault="000E3D8E">
          <w:pPr>
            <w:pStyle w:val="TOC1"/>
            <w:tabs>
              <w:tab w:val="right" w:leader="dot" w:pos="9350"/>
            </w:tabs>
            <w:rPr>
              <w:rFonts w:cstheme="minorBidi"/>
              <w:noProof/>
            </w:rPr>
          </w:pPr>
          <w:hyperlink w:anchor="_Toc208488277" w:history="1">
            <w:r w:rsidRPr="00F9561A">
              <w:rPr>
                <w:rStyle w:val="Hyperlink"/>
                <w:b/>
                <w:bCs/>
                <w:smallCaps/>
                <w:noProof/>
                <w:spacing w:val="5"/>
              </w:rPr>
              <w:t>General Information and Guidance for the use of Generative Artificial Intelligence (AI)</w:t>
            </w:r>
            <w:r>
              <w:rPr>
                <w:noProof/>
                <w:webHidden/>
              </w:rPr>
              <w:tab/>
            </w:r>
            <w:r>
              <w:rPr>
                <w:noProof/>
                <w:webHidden/>
              </w:rPr>
              <w:fldChar w:fldCharType="begin"/>
            </w:r>
            <w:r>
              <w:rPr>
                <w:noProof/>
                <w:webHidden/>
              </w:rPr>
              <w:instrText xml:space="preserve"> PAGEREF _Toc208488277 \h </w:instrText>
            </w:r>
            <w:r>
              <w:rPr>
                <w:noProof/>
                <w:webHidden/>
              </w:rPr>
            </w:r>
            <w:r>
              <w:rPr>
                <w:noProof/>
                <w:webHidden/>
              </w:rPr>
              <w:fldChar w:fldCharType="separate"/>
            </w:r>
            <w:r>
              <w:rPr>
                <w:noProof/>
                <w:webHidden/>
              </w:rPr>
              <w:t>9</w:t>
            </w:r>
            <w:r>
              <w:rPr>
                <w:noProof/>
                <w:webHidden/>
              </w:rPr>
              <w:fldChar w:fldCharType="end"/>
            </w:r>
          </w:hyperlink>
        </w:p>
        <w:p w14:paraId="2D570A0E" w14:textId="77FAB061" w:rsidR="000E3D8E" w:rsidRDefault="000E3D8E">
          <w:pPr>
            <w:pStyle w:val="TOC1"/>
            <w:tabs>
              <w:tab w:val="right" w:leader="dot" w:pos="9350"/>
            </w:tabs>
            <w:rPr>
              <w:rFonts w:cstheme="minorBidi"/>
              <w:noProof/>
            </w:rPr>
          </w:pPr>
          <w:hyperlink w:anchor="_Toc208488278" w:history="1">
            <w:r w:rsidRPr="00F9561A">
              <w:rPr>
                <w:rStyle w:val="Hyperlink"/>
                <w:b/>
                <w:bCs/>
                <w:smallCaps/>
                <w:noProof/>
                <w:spacing w:val="5"/>
              </w:rPr>
              <w:t>Academic Dishonesty</w:t>
            </w:r>
            <w:r>
              <w:rPr>
                <w:noProof/>
                <w:webHidden/>
              </w:rPr>
              <w:tab/>
            </w:r>
            <w:r>
              <w:rPr>
                <w:noProof/>
                <w:webHidden/>
              </w:rPr>
              <w:fldChar w:fldCharType="begin"/>
            </w:r>
            <w:r>
              <w:rPr>
                <w:noProof/>
                <w:webHidden/>
              </w:rPr>
              <w:instrText xml:space="preserve"> PAGEREF _Toc208488278 \h </w:instrText>
            </w:r>
            <w:r>
              <w:rPr>
                <w:noProof/>
                <w:webHidden/>
              </w:rPr>
            </w:r>
            <w:r>
              <w:rPr>
                <w:noProof/>
                <w:webHidden/>
              </w:rPr>
              <w:fldChar w:fldCharType="separate"/>
            </w:r>
            <w:r>
              <w:rPr>
                <w:noProof/>
                <w:webHidden/>
              </w:rPr>
              <w:t>11</w:t>
            </w:r>
            <w:r>
              <w:rPr>
                <w:noProof/>
                <w:webHidden/>
              </w:rPr>
              <w:fldChar w:fldCharType="end"/>
            </w:r>
          </w:hyperlink>
        </w:p>
        <w:p w14:paraId="7F2991ED" w14:textId="0B6B373E" w:rsidR="000E3D8E" w:rsidRDefault="000E3D8E">
          <w:pPr>
            <w:pStyle w:val="TOC1"/>
            <w:tabs>
              <w:tab w:val="right" w:leader="dot" w:pos="9350"/>
            </w:tabs>
            <w:rPr>
              <w:rFonts w:cstheme="minorBidi"/>
              <w:noProof/>
            </w:rPr>
          </w:pPr>
          <w:hyperlink w:anchor="_Toc208488279" w:history="1">
            <w:r w:rsidRPr="00F9561A">
              <w:rPr>
                <w:rStyle w:val="Hyperlink"/>
                <w:b/>
                <w:bCs/>
                <w:smallCaps/>
                <w:noProof/>
                <w:spacing w:val="5"/>
              </w:rPr>
              <w:t>Student Resources</w:t>
            </w:r>
            <w:r>
              <w:rPr>
                <w:noProof/>
                <w:webHidden/>
              </w:rPr>
              <w:tab/>
            </w:r>
            <w:r>
              <w:rPr>
                <w:noProof/>
                <w:webHidden/>
              </w:rPr>
              <w:fldChar w:fldCharType="begin"/>
            </w:r>
            <w:r>
              <w:rPr>
                <w:noProof/>
                <w:webHidden/>
              </w:rPr>
              <w:instrText xml:space="preserve"> PAGEREF _Toc208488279 \h </w:instrText>
            </w:r>
            <w:r>
              <w:rPr>
                <w:noProof/>
                <w:webHidden/>
              </w:rPr>
            </w:r>
            <w:r>
              <w:rPr>
                <w:noProof/>
                <w:webHidden/>
              </w:rPr>
              <w:fldChar w:fldCharType="separate"/>
            </w:r>
            <w:r>
              <w:rPr>
                <w:noProof/>
                <w:webHidden/>
              </w:rPr>
              <w:t>14</w:t>
            </w:r>
            <w:r>
              <w:rPr>
                <w:noProof/>
                <w:webHidden/>
              </w:rPr>
              <w:fldChar w:fldCharType="end"/>
            </w:r>
          </w:hyperlink>
        </w:p>
        <w:p w14:paraId="78D01EF0" w14:textId="29E40522" w:rsidR="000E3D8E" w:rsidRDefault="000E3D8E">
          <w:pPr>
            <w:pStyle w:val="TOC1"/>
            <w:tabs>
              <w:tab w:val="right" w:leader="dot" w:pos="9350"/>
            </w:tabs>
            <w:rPr>
              <w:rFonts w:cstheme="minorBidi"/>
              <w:noProof/>
            </w:rPr>
          </w:pPr>
          <w:hyperlink w:anchor="_Toc208488280" w:history="1">
            <w:r w:rsidRPr="00F9561A">
              <w:rPr>
                <w:rStyle w:val="Hyperlink"/>
                <w:b/>
                <w:bCs/>
                <w:smallCaps/>
                <w:noProof/>
                <w:spacing w:val="5"/>
              </w:rPr>
              <w:t>Access and Accommodations</w:t>
            </w:r>
            <w:r>
              <w:rPr>
                <w:noProof/>
                <w:webHidden/>
              </w:rPr>
              <w:tab/>
            </w:r>
            <w:r>
              <w:rPr>
                <w:noProof/>
                <w:webHidden/>
              </w:rPr>
              <w:fldChar w:fldCharType="begin"/>
            </w:r>
            <w:r>
              <w:rPr>
                <w:noProof/>
                <w:webHidden/>
              </w:rPr>
              <w:instrText xml:space="preserve"> PAGEREF _Toc208488280 \h </w:instrText>
            </w:r>
            <w:r>
              <w:rPr>
                <w:noProof/>
                <w:webHidden/>
              </w:rPr>
            </w:r>
            <w:r>
              <w:rPr>
                <w:noProof/>
                <w:webHidden/>
              </w:rPr>
              <w:fldChar w:fldCharType="separate"/>
            </w:r>
            <w:r>
              <w:rPr>
                <w:noProof/>
                <w:webHidden/>
              </w:rPr>
              <w:t>14</w:t>
            </w:r>
            <w:r>
              <w:rPr>
                <w:noProof/>
                <w:webHidden/>
              </w:rPr>
              <w:fldChar w:fldCharType="end"/>
            </w:r>
          </w:hyperlink>
        </w:p>
        <w:p w14:paraId="633FE87A" w14:textId="67086772" w:rsidR="000E3D8E" w:rsidRDefault="000E3D8E">
          <w:pPr>
            <w:pStyle w:val="TOC1"/>
            <w:tabs>
              <w:tab w:val="right" w:leader="dot" w:pos="9350"/>
            </w:tabs>
            <w:rPr>
              <w:rFonts w:cstheme="minorBidi"/>
              <w:noProof/>
            </w:rPr>
          </w:pPr>
          <w:hyperlink w:anchor="_Toc208488281" w:history="1">
            <w:r w:rsidRPr="00F9561A">
              <w:rPr>
                <w:rStyle w:val="Hyperlink"/>
                <w:b/>
                <w:bCs/>
                <w:smallCaps/>
                <w:noProof/>
                <w:spacing w:val="5"/>
              </w:rPr>
              <w:t>Safety</w:t>
            </w:r>
            <w:r>
              <w:rPr>
                <w:noProof/>
                <w:webHidden/>
              </w:rPr>
              <w:tab/>
            </w:r>
            <w:r>
              <w:rPr>
                <w:noProof/>
                <w:webHidden/>
              </w:rPr>
              <w:fldChar w:fldCharType="begin"/>
            </w:r>
            <w:r>
              <w:rPr>
                <w:noProof/>
                <w:webHidden/>
              </w:rPr>
              <w:instrText xml:space="preserve"> PAGEREF _Toc208488281 \h </w:instrText>
            </w:r>
            <w:r>
              <w:rPr>
                <w:noProof/>
                <w:webHidden/>
              </w:rPr>
            </w:r>
            <w:r>
              <w:rPr>
                <w:noProof/>
                <w:webHidden/>
              </w:rPr>
              <w:fldChar w:fldCharType="separate"/>
            </w:r>
            <w:r>
              <w:rPr>
                <w:noProof/>
                <w:webHidden/>
              </w:rPr>
              <w:t>14</w:t>
            </w:r>
            <w:r>
              <w:rPr>
                <w:noProof/>
                <w:webHidden/>
              </w:rPr>
              <w:fldChar w:fldCharType="end"/>
            </w:r>
          </w:hyperlink>
        </w:p>
        <w:p w14:paraId="25C683F0" w14:textId="28B9C7C9" w:rsidR="000E3D8E" w:rsidRDefault="000E3D8E">
          <w:pPr>
            <w:pStyle w:val="TOC1"/>
            <w:tabs>
              <w:tab w:val="right" w:leader="dot" w:pos="9350"/>
            </w:tabs>
            <w:rPr>
              <w:rFonts w:cstheme="minorBidi"/>
              <w:noProof/>
            </w:rPr>
          </w:pPr>
          <w:hyperlink w:anchor="_Toc208488282" w:history="1">
            <w:r w:rsidRPr="00F9561A">
              <w:rPr>
                <w:rStyle w:val="Hyperlink"/>
                <w:b/>
                <w:bCs/>
                <w:smallCaps/>
                <w:noProof/>
                <w:spacing w:val="5"/>
              </w:rPr>
              <w:t>Syllabus Subject to Change</w:t>
            </w:r>
            <w:r>
              <w:rPr>
                <w:noProof/>
                <w:webHidden/>
              </w:rPr>
              <w:tab/>
            </w:r>
            <w:r>
              <w:rPr>
                <w:noProof/>
                <w:webHidden/>
              </w:rPr>
              <w:fldChar w:fldCharType="begin"/>
            </w:r>
            <w:r>
              <w:rPr>
                <w:noProof/>
                <w:webHidden/>
              </w:rPr>
              <w:instrText xml:space="preserve"> PAGEREF _Toc208488282 \h </w:instrText>
            </w:r>
            <w:r>
              <w:rPr>
                <w:noProof/>
                <w:webHidden/>
              </w:rPr>
            </w:r>
            <w:r>
              <w:rPr>
                <w:noProof/>
                <w:webHidden/>
              </w:rPr>
              <w:fldChar w:fldCharType="separate"/>
            </w:r>
            <w:r>
              <w:rPr>
                <w:noProof/>
                <w:webHidden/>
              </w:rPr>
              <w:t>14</w:t>
            </w:r>
            <w:r>
              <w:rPr>
                <w:noProof/>
                <w:webHidden/>
              </w:rPr>
              <w:fldChar w:fldCharType="end"/>
            </w:r>
          </w:hyperlink>
        </w:p>
        <w:p w14:paraId="1D0EE0CB" w14:textId="4BC04C14" w:rsidR="002C66B1" w:rsidRDefault="002C66B1">
          <w:r>
            <w:rPr>
              <w:b/>
              <w:bCs/>
              <w:noProof/>
            </w:rPr>
            <w:fldChar w:fldCharType="end"/>
          </w:r>
        </w:p>
      </w:sdtContent>
    </w:sdt>
    <w:p w14:paraId="4931B3A7" w14:textId="12C5ECE8" w:rsidR="002C66B1" w:rsidRDefault="002C66B1">
      <w:pPr>
        <w:rPr>
          <w:b/>
          <w:bCs/>
          <w:sz w:val="40"/>
          <w:szCs w:val="40"/>
        </w:rPr>
      </w:pPr>
      <w:r>
        <w:rPr>
          <w:b/>
          <w:bCs/>
          <w:sz w:val="40"/>
          <w:szCs w:val="40"/>
        </w:rPr>
        <w:br w:type="page"/>
      </w:r>
    </w:p>
    <w:p w14:paraId="0D71F1AE" w14:textId="1F4ECCDA" w:rsidR="00D953BC" w:rsidRPr="002C66B1" w:rsidRDefault="00D953BC" w:rsidP="002C66B1">
      <w:pPr>
        <w:pStyle w:val="Heading1"/>
        <w:rPr>
          <w:rStyle w:val="IntenseReference"/>
        </w:rPr>
      </w:pPr>
      <w:bookmarkStart w:id="0" w:name="_Toc208488263"/>
      <w:r w:rsidRPr="002C66B1">
        <w:rPr>
          <w:rStyle w:val="IntenseReference"/>
        </w:rPr>
        <w:lastRenderedPageBreak/>
        <w:t xml:space="preserve">Professor </w:t>
      </w:r>
      <w:r w:rsidR="00383E39">
        <w:rPr>
          <w:rStyle w:val="IntenseReference"/>
        </w:rPr>
        <w:t xml:space="preserve">Contact </w:t>
      </w:r>
      <w:r w:rsidRPr="002C66B1">
        <w:rPr>
          <w:rStyle w:val="IntenseReference"/>
        </w:rPr>
        <w:t>Information</w:t>
      </w:r>
      <w:bookmarkEnd w:id="0"/>
    </w:p>
    <w:p w14:paraId="0709D14A" w14:textId="60BD884B" w:rsidR="004A1A63" w:rsidRDefault="00AB5DFA" w:rsidP="004A1A63">
      <w:pPr>
        <w:rPr>
          <w:lang w:val="en"/>
        </w:rPr>
      </w:pPr>
      <w:r w:rsidRPr="00A8179C">
        <w:rPr>
          <w:rFonts w:eastAsia="Times New Roman"/>
          <w:noProof/>
        </w:rPr>
        <w:drawing>
          <wp:anchor distT="0" distB="0" distL="114300" distR="114300" simplePos="0" relativeHeight="251663872" behindDoc="0" locked="0" layoutInCell="1" allowOverlap="1" wp14:anchorId="4FB106FC" wp14:editId="16E86557">
            <wp:simplePos x="0" y="0"/>
            <wp:positionH relativeFrom="column">
              <wp:posOffset>4286250</wp:posOffset>
            </wp:positionH>
            <wp:positionV relativeFrom="paragraph">
              <wp:posOffset>247015</wp:posOffset>
            </wp:positionV>
            <wp:extent cx="1432560" cy="19037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H="1" flipV="1">
                      <a:off x="0" y="0"/>
                      <a:ext cx="1432560" cy="190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A63">
        <w:rPr>
          <w:noProof/>
          <w:lang w:val="en"/>
        </w:rPr>
        <mc:AlternateContent>
          <mc:Choice Requires="wps">
            <w:drawing>
              <wp:anchor distT="0" distB="0" distL="114300" distR="114300" simplePos="0" relativeHeight="251655680" behindDoc="0" locked="0" layoutInCell="1" allowOverlap="1" wp14:anchorId="516D60B6" wp14:editId="714CEB25">
                <wp:simplePos x="0" y="0"/>
                <wp:positionH relativeFrom="column">
                  <wp:posOffset>-200025</wp:posOffset>
                </wp:positionH>
                <wp:positionV relativeFrom="paragraph">
                  <wp:posOffset>111760</wp:posOffset>
                </wp:positionV>
                <wp:extent cx="6143625" cy="2200275"/>
                <wp:effectExtent l="0" t="0" r="28575" b="28575"/>
                <wp:wrapNone/>
                <wp:docPr id="1434314696" name="Rectangle 4"/>
                <wp:cNvGraphicFramePr/>
                <a:graphic xmlns:a="http://schemas.openxmlformats.org/drawingml/2006/main">
                  <a:graphicData uri="http://schemas.microsoft.com/office/word/2010/wordprocessingShape">
                    <wps:wsp>
                      <wps:cNvSpPr/>
                      <wps:spPr>
                        <a:xfrm>
                          <a:off x="0" y="0"/>
                          <a:ext cx="6143625" cy="2200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F8E38" id="Rectangle 4" o:spid="_x0000_s1026" style="position:absolute;margin-left:-15.75pt;margin-top:8.8pt;width:483.75pt;height:17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" filled="f" strokecolor="#09101d [484]" strokeweight="1pt"/>
            </w:pict>
          </mc:Fallback>
        </mc:AlternateContent>
      </w:r>
    </w:p>
    <w:p w14:paraId="7AA03A2B" w14:textId="3EB27EF6" w:rsidR="004A1A63" w:rsidRPr="00E2348C" w:rsidRDefault="004A1A63" w:rsidP="004A1A63">
      <w:pPr>
        <w:rPr>
          <w:sz w:val="24"/>
          <w:szCs w:val="24"/>
          <w:lang w:val="en"/>
        </w:rPr>
      </w:pPr>
      <w:r w:rsidRPr="004A1A63">
        <w:rPr>
          <w:sz w:val="24"/>
          <w:szCs w:val="24"/>
          <w:lang w:val="en"/>
        </w:rPr>
        <w:t>Shay Bluemer-Miroite</w:t>
      </w:r>
      <w:r w:rsidRPr="00E2348C">
        <w:rPr>
          <w:sz w:val="24"/>
          <w:szCs w:val="24"/>
          <w:lang w:val="en"/>
        </w:rPr>
        <w:t>, MPH</w:t>
      </w:r>
      <w:r w:rsidRPr="004A1A63">
        <w:rPr>
          <w:sz w:val="24"/>
          <w:szCs w:val="24"/>
          <w:lang w:val="en"/>
        </w:rPr>
        <w:t xml:space="preserve"> </w:t>
      </w:r>
      <w:r w:rsidR="006838E2">
        <w:rPr>
          <w:sz w:val="24"/>
          <w:szCs w:val="24"/>
          <w:lang w:val="en"/>
        </w:rPr>
        <w:t>| s</w:t>
      </w:r>
      <w:r w:rsidRPr="00E2348C">
        <w:rPr>
          <w:sz w:val="24"/>
          <w:szCs w:val="24"/>
          <w:lang w:val="en"/>
        </w:rPr>
        <w:t>he/</w:t>
      </w:r>
      <w:r w:rsidR="006838E2">
        <w:rPr>
          <w:sz w:val="24"/>
          <w:szCs w:val="24"/>
          <w:lang w:val="en"/>
        </w:rPr>
        <w:t>h</w:t>
      </w:r>
      <w:r w:rsidRPr="00E2348C">
        <w:rPr>
          <w:sz w:val="24"/>
          <w:szCs w:val="24"/>
          <w:lang w:val="en"/>
        </w:rPr>
        <w:t>er</w:t>
      </w:r>
    </w:p>
    <w:p w14:paraId="5565C1A5" w14:textId="463AE2A8" w:rsidR="00A8179C" w:rsidRPr="00AB5DFA" w:rsidRDefault="004A1A63" w:rsidP="00A8179C">
      <w:pPr>
        <w:pStyle w:val="NormalWeb"/>
        <w:rPr>
          <w:rFonts w:asciiTheme="minorHAnsi" w:eastAsia="Times New Roman" w:hAnsiTheme="minorHAnsi" w:cstheme="minorHAnsi"/>
        </w:rPr>
      </w:pPr>
      <w:r w:rsidRPr="00AB5DFA">
        <w:rPr>
          <w:rFonts w:asciiTheme="minorHAnsi" w:hAnsiTheme="minorHAnsi" w:cstheme="minorHAnsi"/>
          <w:lang w:val="en"/>
        </w:rPr>
        <w:t xml:space="preserve">Professor- Community Health </w:t>
      </w:r>
    </w:p>
    <w:p w14:paraId="2B3D9770" w14:textId="77777777" w:rsidR="004A1A63" w:rsidRPr="00AB5DFA" w:rsidRDefault="004A1A63" w:rsidP="004A1A63">
      <w:pPr>
        <w:rPr>
          <w:rFonts w:cstheme="minorHAnsi"/>
          <w:sz w:val="24"/>
          <w:szCs w:val="24"/>
          <w:lang w:val="en"/>
        </w:rPr>
      </w:pPr>
      <w:r w:rsidRPr="00AB5DFA">
        <w:rPr>
          <w:rFonts w:cstheme="minorHAnsi"/>
          <w:sz w:val="24"/>
          <w:szCs w:val="24"/>
          <w:lang w:val="en"/>
        </w:rPr>
        <w:t>Office: Building 13-231</w:t>
      </w:r>
      <w:r w:rsidRPr="00AB5DFA">
        <w:rPr>
          <w:rFonts w:cstheme="minorHAnsi"/>
          <w:noProof/>
          <w:sz w:val="24"/>
          <w:szCs w:val="24"/>
        </w:rPr>
        <w:t xml:space="preserve"> </w:t>
      </w:r>
    </w:p>
    <w:p w14:paraId="74E76A0B" w14:textId="77777777" w:rsidR="004A1A63" w:rsidRPr="00AB5DFA" w:rsidRDefault="004A1A63" w:rsidP="004A1A63">
      <w:pPr>
        <w:rPr>
          <w:rFonts w:cstheme="minorHAnsi"/>
          <w:sz w:val="24"/>
          <w:szCs w:val="24"/>
          <w:lang w:val="fr-FR"/>
        </w:rPr>
      </w:pPr>
      <w:proofErr w:type="gramStart"/>
      <w:r w:rsidRPr="00AB5DFA">
        <w:rPr>
          <w:rFonts w:cstheme="minorHAnsi"/>
          <w:sz w:val="24"/>
          <w:szCs w:val="24"/>
          <w:lang w:val="fr-FR"/>
        </w:rPr>
        <w:t>Email:</w:t>
      </w:r>
      <w:proofErr w:type="gramEnd"/>
      <w:r w:rsidRPr="00AB5DFA">
        <w:rPr>
          <w:rFonts w:cstheme="minorHAnsi"/>
          <w:sz w:val="24"/>
          <w:szCs w:val="24"/>
          <w:lang w:val="fr-FR"/>
        </w:rPr>
        <w:t xml:space="preserve"> sbluemer-miroite@tacomacc.edu </w:t>
      </w:r>
    </w:p>
    <w:p w14:paraId="6CDC1756" w14:textId="196F61BB" w:rsidR="004A1A63" w:rsidRPr="00AB5DFA" w:rsidRDefault="004A1A63" w:rsidP="004A1A63">
      <w:pPr>
        <w:rPr>
          <w:rFonts w:cstheme="minorHAnsi"/>
          <w:sz w:val="24"/>
          <w:szCs w:val="24"/>
          <w:lang w:val="fr-FR"/>
        </w:rPr>
      </w:pPr>
      <w:proofErr w:type="gramStart"/>
      <w:r w:rsidRPr="00AB5DFA">
        <w:rPr>
          <w:rFonts w:cstheme="minorHAnsi"/>
          <w:sz w:val="24"/>
          <w:szCs w:val="24"/>
          <w:lang w:val="fr-FR"/>
        </w:rPr>
        <w:t>Phone:</w:t>
      </w:r>
      <w:proofErr w:type="gramEnd"/>
      <w:r w:rsidRPr="00AB5DFA">
        <w:rPr>
          <w:rFonts w:cstheme="minorHAnsi"/>
          <w:sz w:val="24"/>
          <w:szCs w:val="24"/>
          <w:lang w:val="fr-FR"/>
        </w:rPr>
        <w:t xml:space="preserve"> 253-</w:t>
      </w:r>
      <w:r w:rsidR="00AB5DFA" w:rsidRPr="00AB5DFA">
        <w:rPr>
          <w:rFonts w:cstheme="minorHAnsi"/>
          <w:sz w:val="24"/>
          <w:szCs w:val="24"/>
          <w:lang w:val="fr-FR"/>
        </w:rPr>
        <w:t>460-2011</w:t>
      </w:r>
    </w:p>
    <w:p w14:paraId="52783B72" w14:textId="1E1469A6" w:rsidR="004A1A63" w:rsidRPr="00AB5DFA" w:rsidRDefault="004A1A63" w:rsidP="004A1A63">
      <w:pPr>
        <w:rPr>
          <w:rFonts w:cstheme="minorHAnsi"/>
          <w:sz w:val="24"/>
          <w:szCs w:val="24"/>
          <w:lang w:val="en"/>
        </w:rPr>
      </w:pPr>
      <w:r w:rsidRPr="00AB5DFA">
        <w:rPr>
          <w:rFonts w:cstheme="minorHAnsi"/>
          <w:sz w:val="24"/>
          <w:szCs w:val="24"/>
          <w:lang w:val="en"/>
        </w:rPr>
        <w:t xml:space="preserve">Office Hours: Tuesday &amp; Wednesday from 10:00-12:00 </w:t>
      </w:r>
      <w:r w:rsidR="00CB3FFC" w:rsidRPr="00AB5DFA">
        <w:rPr>
          <w:rFonts w:cstheme="minorHAnsi"/>
          <w:sz w:val="24"/>
          <w:szCs w:val="24"/>
          <w:lang w:val="en"/>
        </w:rPr>
        <w:t>and</w:t>
      </w:r>
      <w:r w:rsidRPr="00AB5DFA">
        <w:rPr>
          <w:rFonts w:cstheme="minorHAnsi"/>
          <w:sz w:val="24"/>
          <w:szCs w:val="24"/>
          <w:lang w:val="en"/>
        </w:rPr>
        <w:t xml:space="preserve"> by appointment</w:t>
      </w:r>
    </w:p>
    <w:p w14:paraId="6665F3AC" w14:textId="77777777" w:rsidR="00E2348C" w:rsidRDefault="00E2348C" w:rsidP="00E2348C">
      <w:pPr>
        <w:rPr>
          <w:lang w:val="en"/>
        </w:rPr>
      </w:pPr>
    </w:p>
    <w:p w14:paraId="0165FE9E" w14:textId="137402AD" w:rsidR="002C66B1" w:rsidRPr="00383E39" w:rsidRDefault="00383E39" w:rsidP="00383E39">
      <w:pPr>
        <w:pStyle w:val="Heading1"/>
        <w:rPr>
          <w:rStyle w:val="IntenseReference"/>
        </w:rPr>
      </w:pPr>
      <w:bookmarkStart w:id="1" w:name="_Toc208488264"/>
      <w:r w:rsidRPr="00383E39">
        <w:rPr>
          <w:rStyle w:val="IntenseReference"/>
        </w:rPr>
        <w:t>Diversity, Equity, and Inclusion in Our Class</w:t>
      </w:r>
      <w:bookmarkEnd w:id="1"/>
    </w:p>
    <w:p w14:paraId="5110A89C" w14:textId="092697FE" w:rsidR="003A0C24" w:rsidRPr="003A0C24" w:rsidRDefault="003A0C24" w:rsidP="003A0C24">
      <w:r w:rsidRPr="003A0C24">
        <w:t>In community health, we recognize that health outcomes are shaped by social, cultural, political, and economic forces, and that each person brings valuable perspectives shaped by their lived experiences. Our learning community is built on the belief that everyone belongs</w:t>
      </w:r>
      <w:r w:rsidRPr="006838E2">
        <w:t>.</w:t>
      </w:r>
    </w:p>
    <w:p w14:paraId="30ACE889" w14:textId="77777777" w:rsidR="003A0C24" w:rsidRPr="003A0C24" w:rsidRDefault="003A0C24" w:rsidP="003A0C24">
      <w:r w:rsidRPr="003A0C24">
        <w:t>In this course we will:</w:t>
      </w:r>
    </w:p>
    <w:p w14:paraId="74618AA9" w14:textId="77777777" w:rsidR="003A0C24" w:rsidRPr="003A0C24" w:rsidRDefault="003A0C24" w:rsidP="003A0C24">
      <w:pPr>
        <w:numPr>
          <w:ilvl w:val="0"/>
          <w:numId w:val="16"/>
        </w:numPr>
      </w:pPr>
      <w:r w:rsidRPr="003A0C24">
        <w:t>Respect and affirm diverse identities and perspectives, including (but not limited to) race, ethnicity, culture, gender identity and expression, sexual orientation, socioeconomic background, language, and ability.</w:t>
      </w:r>
    </w:p>
    <w:p w14:paraId="5D116CC1" w14:textId="77777777" w:rsidR="003A0C24" w:rsidRPr="003A0C24" w:rsidRDefault="003A0C24" w:rsidP="003A0C24">
      <w:pPr>
        <w:numPr>
          <w:ilvl w:val="0"/>
          <w:numId w:val="16"/>
        </w:numPr>
      </w:pPr>
      <w:r w:rsidRPr="003A0C24">
        <w:t>Build community agreements together during the first week of class so we can co-create a respectful, supportive learning space that works for everyone.</w:t>
      </w:r>
    </w:p>
    <w:p w14:paraId="00860F98" w14:textId="77777777" w:rsidR="003A0C24" w:rsidRPr="003A0C24" w:rsidRDefault="003A0C24" w:rsidP="003A0C24">
      <w:pPr>
        <w:numPr>
          <w:ilvl w:val="0"/>
          <w:numId w:val="16"/>
        </w:numPr>
      </w:pPr>
      <w:r w:rsidRPr="003A0C24">
        <w:t>Listen actively and engage with care, honoring the unique voices and experiences in the room.</w:t>
      </w:r>
    </w:p>
    <w:p w14:paraId="3210E7C7" w14:textId="77777777" w:rsidR="003A0C24" w:rsidRPr="003A0C24" w:rsidRDefault="003A0C24" w:rsidP="003A0C24">
      <w:pPr>
        <w:numPr>
          <w:ilvl w:val="0"/>
          <w:numId w:val="16"/>
        </w:numPr>
      </w:pPr>
      <w:r w:rsidRPr="003A0C24">
        <w:t>Collaborate toward equity, inclusion, and belonging, which are central to public health practice and to our classroom environment.</w:t>
      </w:r>
    </w:p>
    <w:p w14:paraId="4D98818E" w14:textId="77777777" w:rsidR="003A0C24" w:rsidRPr="003A0C24" w:rsidRDefault="003A0C24" w:rsidP="003A0C24">
      <w:r w:rsidRPr="003A0C24">
        <w:t xml:space="preserve">I welcome your contributions and encourage you to reach out to me if there are </w:t>
      </w:r>
      <w:proofErr w:type="gramStart"/>
      <w:r w:rsidRPr="003A0C24">
        <w:t>ways</w:t>
      </w:r>
      <w:proofErr w:type="gramEnd"/>
      <w:r w:rsidRPr="003A0C24">
        <w:t xml:space="preserve"> I can support your learning and participation.</w:t>
      </w:r>
    </w:p>
    <w:p w14:paraId="4C1CF92E" w14:textId="2226D8F4" w:rsidR="00485CED" w:rsidRPr="002C66B1" w:rsidRDefault="00485CED" w:rsidP="002C66B1">
      <w:pPr>
        <w:pStyle w:val="Heading1"/>
        <w:rPr>
          <w:rStyle w:val="IntenseReference"/>
        </w:rPr>
      </w:pPr>
      <w:bookmarkStart w:id="2" w:name="_Toc208488265"/>
      <w:r w:rsidRPr="002C66B1">
        <w:rPr>
          <w:rStyle w:val="IntenseReference"/>
        </w:rPr>
        <w:t xml:space="preserve">Communication </w:t>
      </w:r>
      <w:r w:rsidR="00D953BC" w:rsidRPr="002C66B1">
        <w:rPr>
          <w:rStyle w:val="IntenseReference"/>
        </w:rPr>
        <w:t>Policy</w:t>
      </w:r>
      <w:bookmarkEnd w:id="2"/>
    </w:p>
    <w:p w14:paraId="2DB325DC" w14:textId="77777777" w:rsidR="00AD272C" w:rsidRPr="00AD272C" w:rsidRDefault="00AD272C" w:rsidP="004A1A63">
      <w:pPr>
        <w:spacing w:after="0"/>
      </w:pPr>
      <w:r w:rsidRPr="00AD272C">
        <w:t>While we may not meet face-to-face regularly, I want you to know that I am here to support your learning, and I encourage you to reach out whenever you need help, have questions, or want to share ideas. Open communication is an important part of our shared success in this course.</w:t>
      </w:r>
    </w:p>
    <w:p w14:paraId="7134636E" w14:textId="77777777" w:rsidR="002E1999" w:rsidRDefault="002E1999" w:rsidP="004A1A63">
      <w:pPr>
        <w:spacing w:after="0"/>
      </w:pPr>
    </w:p>
    <w:p w14:paraId="4CC02E28" w14:textId="23C08618" w:rsidR="00AD272C" w:rsidRPr="00AD272C" w:rsidRDefault="006838E2" w:rsidP="004A1A63">
      <w:pPr>
        <w:spacing w:after="0"/>
      </w:pPr>
      <w:r>
        <w:t xml:space="preserve">In addition to the community agreements we will co-create, here are a few </w:t>
      </w:r>
      <w:r w:rsidR="00AD272C" w:rsidRPr="00AD272C">
        <w:t>commitments I will always uphold:</w:t>
      </w:r>
    </w:p>
    <w:p w14:paraId="03B78815" w14:textId="10A7E24B" w:rsidR="00AD272C" w:rsidRPr="00AD272C" w:rsidRDefault="00AD272C" w:rsidP="004A1A63">
      <w:pPr>
        <w:numPr>
          <w:ilvl w:val="0"/>
          <w:numId w:val="17"/>
        </w:numPr>
        <w:spacing w:after="0"/>
      </w:pPr>
      <w:r w:rsidRPr="00AD272C">
        <w:t xml:space="preserve">I will reply to Canvas messages or emails within </w:t>
      </w:r>
      <w:r w:rsidRPr="00AD272C">
        <w:rPr>
          <w:b/>
          <w:bCs/>
        </w:rPr>
        <w:t xml:space="preserve">24–48 business </w:t>
      </w:r>
      <w:r w:rsidR="002E1999">
        <w:rPr>
          <w:b/>
          <w:bCs/>
        </w:rPr>
        <w:t>hours.</w:t>
      </w:r>
    </w:p>
    <w:p w14:paraId="32EC2F0C" w14:textId="77777777" w:rsidR="00AD272C" w:rsidRPr="00AD272C" w:rsidRDefault="00AD272C" w:rsidP="004A1A63">
      <w:pPr>
        <w:numPr>
          <w:ilvl w:val="0"/>
          <w:numId w:val="17"/>
        </w:numPr>
        <w:spacing w:after="0"/>
      </w:pPr>
      <w:r w:rsidRPr="00AD272C">
        <w:lastRenderedPageBreak/>
        <w:t>I will communicate clearly about expectations, timelines, and any updates.</w:t>
      </w:r>
    </w:p>
    <w:p w14:paraId="29D5B9A6" w14:textId="77777777" w:rsidR="00AD272C" w:rsidRPr="00AD272C" w:rsidRDefault="00AD272C" w:rsidP="004A1A63">
      <w:pPr>
        <w:numPr>
          <w:ilvl w:val="0"/>
          <w:numId w:val="17"/>
        </w:numPr>
        <w:spacing w:after="0"/>
      </w:pPr>
      <w:r w:rsidRPr="00AD272C">
        <w:t>I will listen with respect and care, and I ask that we extend the same respect to one another.</w:t>
      </w:r>
    </w:p>
    <w:p w14:paraId="00BDE728" w14:textId="77777777" w:rsidR="002E1999" w:rsidRDefault="002E1999" w:rsidP="004A1A63">
      <w:pPr>
        <w:spacing w:after="0"/>
      </w:pPr>
    </w:p>
    <w:p w14:paraId="1CD97675" w14:textId="487662ED" w:rsidR="004A1A63" w:rsidRDefault="002E1999" w:rsidP="004A1A63">
      <w:pPr>
        <w:spacing w:after="0"/>
      </w:pPr>
      <w:r>
        <w:t>When emailing me, here are a few</w:t>
      </w:r>
      <w:r w:rsidR="004A1A63" w:rsidRPr="004A1A63">
        <w:t xml:space="preserve"> practices that will make our communication smoother: </w:t>
      </w:r>
    </w:p>
    <w:p w14:paraId="61CBE28D" w14:textId="67004C83" w:rsidR="004A1A63" w:rsidRDefault="004A1A63" w:rsidP="004A1A63">
      <w:pPr>
        <w:pStyle w:val="ListParagraph"/>
        <w:numPr>
          <w:ilvl w:val="0"/>
          <w:numId w:val="19"/>
        </w:numPr>
        <w:spacing w:after="0"/>
      </w:pPr>
      <w:r w:rsidRPr="004A1A63">
        <w:t xml:space="preserve">A </w:t>
      </w:r>
      <w:r>
        <w:t>descriptive</w:t>
      </w:r>
      <w:r w:rsidRPr="004A1A63">
        <w:t xml:space="preserve"> subject line (e.g., Question about Part 1 of the Course Project). </w:t>
      </w:r>
    </w:p>
    <w:p w14:paraId="330FD2B6" w14:textId="7B5817B4" w:rsidR="004A1A63" w:rsidRDefault="002E1999" w:rsidP="004A1A63">
      <w:pPr>
        <w:pStyle w:val="ListParagraph"/>
        <w:numPr>
          <w:ilvl w:val="0"/>
          <w:numId w:val="19"/>
        </w:numPr>
        <w:spacing w:after="0"/>
      </w:pPr>
      <w:r>
        <w:t>A</w:t>
      </w:r>
      <w:r w:rsidR="004A1A63" w:rsidRPr="004A1A63">
        <w:t xml:space="preserve"> professional message that explains your question </w:t>
      </w:r>
      <w:r>
        <w:t>or desired action or outcome (how I can help)</w:t>
      </w:r>
    </w:p>
    <w:p w14:paraId="72E7B249" w14:textId="77777777" w:rsidR="004A1A63" w:rsidRDefault="004A1A63" w:rsidP="004A1A63">
      <w:pPr>
        <w:pStyle w:val="ListParagraph"/>
        <w:numPr>
          <w:ilvl w:val="0"/>
          <w:numId w:val="19"/>
        </w:numPr>
        <w:spacing w:after="0"/>
      </w:pPr>
      <w:r w:rsidRPr="004A1A63">
        <w:t>A signature so that I know who the email is from (not all email addresses contain your name.)</w:t>
      </w:r>
    </w:p>
    <w:p w14:paraId="63D6F4B3" w14:textId="77777777" w:rsidR="002E1999" w:rsidRDefault="002E1999" w:rsidP="00E2348C"/>
    <w:p w14:paraId="7879EF2B" w14:textId="254F0747" w:rsidR="00E2348C" w:rsidRDefault="002E1999" w:rsidP="00E2348C">
      <w:r w:rsidRPr="002E1999">
        <w:t xml:space="preserve">These </w:t>
      </w:r>
      <w:r>
        <w:t>practices</w:t>
      </w:r>
      <w:r w:rsidRPr="002E1999">
        <w:t xml:space="preserve"> are </w:t>
      </w:r>
      <w:r>
        <w:t>intended</w:t>
      </w:r>
      <w:r w:rsidRPr="002E1999">
        <w:t xml:space="preserve"> to support our shared learning community, and we’ll expand on them together.</w:t>
      </w:r>
    </w:p>
    <w:p w14:paraId="44C6EB77" w14:textId="4C522559" w:rsidR="00E2348C" w:rsidRPr="002C66B1" w:rsidRDefault="00485CED" w:rsidP="002C66B1">
      <w:pPr>
        <w:pStyle w:val="Heading1"/>
        <w:rPr>
          <w:rStyle w:val="IntenseReference"/>
        </w:rPr>
      </w:pPr>
      <w:bookmarkStart w:id="3" w:name="_Toc208488266"/>
      <w:r w:rsidRPr="002C66B1">
        <w:rPr>
          <w:rStyle w:val="IntenseReference"/>
        </w:rPr>
        <w:t>General C</w:t>
      </w:r>
      <w:r w:rsidR="00E2348C" w:rsidRPr="002C66B1">
        <w:rPr>
          <w:rStyle w:val="IntenseReference"/>
        </w:rPr>
        <w:t>lass Information</w:t>
      </w:r>
      <w:bookmarkEnd w:id="3"/>
    </w:p>
    <w:p w14:paraId="355DC8E2" w14:textId="4A2B4195" w:rsidR="00E2348C" w:rsidRPr="00E2348C" w:rsidRDefault="002E1999" w:rsidP="00E2348C">
      <w:pPr>
        <w:rPr>
          <w:b/>
          <w:bCs/>
          <w:lang w:val="en"/>
        </w:rPr>
      </w:pPr>
      <w:r w:rsidRPr="00CB3FFC">
        <w:rPr>
          <w:b/>
          <w:bCs/>
          <w:lang w:val="en"/>
        </w:rPr>
        <w:t>C</w:t>
      </w:r>
      <w:r w:rsidR="00E2348C" w:rsidRPr="00E2348C">
        <w:rPr>
          <w:b/>
          <w:bCs/>
          <w:lang w:val="en"/>
        </w:rPr>
        <w:t>HP 300 Introduction to Community Health</w:t>
      </w:r>
    </w:p>
    <w:p w14:paraId="638FB005" w14:textId="77777777" w:rsidR="00485CED" w:rsidRDefault="00485CED" w:rsidP="00E2348C">
      <w:r w:rsidRPr="00CB3FFC">
        <w:rPr>
          <w:rStyle w:val="Heading4Char"/>
        </w:rPr>
        <w:t>Course Modality</w:t>
      </w:r>
      <w:r w:rsidRPr="00485CED">
        <w:br/>
        <w:t xml:space="preserve">This online course is organized into weekly modules. Each module includes narrated tutorials, online presentations, assigned readings, discussions, and assignments. </w:t>
      </w:r>
      <w:r>
        <w:t>The</w:t>
      </w:r>
      <w:r w:rsidRPr="00485CED">
        <w:t xml:space="preserve"> readings and written work will help deepen and apply what you’ve learned in the tutorials and discussions. All assignments and projects are submitted through Canvas for grading.</w:t>
      </w:r>
    </w:p>
    <w:p w14:paraId="64753921" w14:textId="52FC71B3" w:rsidR="00E2348C" w:rsidRPr="00E2348C" w:rsidRDefault="00E2348C" w:rsidP="00CB3FFC">
      <w:pPr>
        <w:pStyle w:val="Heading4"/>
        <w:rPr>
          <w:lang w:val="en"/>
        </w:rPr>
      </w:pPr>
      <w:r w:rsidRPr="00E2348C">
        <w:rPr>
          <w:lang w:val="en"/>
        </w:rPr>
        <w:t xml:space="preserve">Schedule and Location </w:t>
      </w:r>
    </w:p>
    <w:p w14:paraId="001D9CB4" w14:textId="379F1DD2" w:rsidR="00E2348C" w:rsidRPr="00E2348C" w:rsidRDefault="00E2348C" w:rsidP="00E2348C">
      <w:pPr>
        <w:rPr>
          <w:lang w:val="en"/>
        </w:rPr>
      </w:pPr>
      <w:r w:rsidRPr="00E2348C">
        <w:rPr>
          <w:lang w:val="en"/>
        </w:rPr>
        <w:t>Daily/ Web-based Instruction- no scheduled lectures</w:t>
      </w:r>
      <w:r w:rsidR="00485CED">
        <w:rPr>
          <w:lang w:val="en"/>
        </w:rPr>
        <w:t xml:space="preserve">. </w:t>
      </w:r>
    </w:p>
    <w:p w14:paraId="0B116695" w14:textId="39A2B12D" w:rsidR="00E2348C" w:rsidRPr="00E2348C" w:rsidRDefault="00E2348C" w:rsidP="00CB3FFC">
      <w:pPr>
        <w:pStyle w:val="Heading4"/>
        <w:rPr>
          <w:lang w:val="en"/>
        </w:rPr>
      </w:pPr>
      <w:r w:rsidRPr="00E2348C">
        <w:rPr>
          <w:lang w:val="en"/>
        </w:rPr>
        <w:t xml:space="preserve">Catalog Description </w:t>
      </w:r>
    </w:p>
    <w:p w14:paraId="359916A8" w14:textId="77777777" w:rsidR="00E2348C" w:rsidRPr="00E2348C" w:rsidRDefault="00E2348C" w:rsidP="00E2348C">
      <w:pPr>
        <w:rPr>
          <w:lang w:val="en"/>
        </w:rPr>
      </w:pPr>
      <w:r w:rsidRPr="00E2348C">
        <w:rPr>
          <w:lang w:val="en"/>
        </w:rPr>
        <w:t>This course will explore the theories, evidence, and application of key concepts related to understanding and improving community health. Additionally, this course focuses on health and wellness in the context of social, political, economic, environmental, and biomedical factors. Health disparities and inequities will be examined, and potential solutions will be discussed.</w:t>
      </w:r>
    </w:p>
    <w:p w14:paraId="4D06F98C" w14:textId="3173DA53" w:rsidR="00E2348C" w:rsidRPr="00E2348C" w:rsidRDefault="00E2348C" w:rsidP="00CB3FFC">
      <w:pPr>
        <w:pStyle w:val="Heading4"/>
        <w:rPr>
          <w:lang w:val="en"/>
        </w:rPr>
      </w:pPr>
      <w:r w:rsidRPr="00E2348C">
        <w:rPr>
          <w:lang w:val="en"/>
        </w:rPr>
        <w:t xml:space="preserve">Prerequisites </w:t>
      </w:r>
    </w:p>
    <w:p w14:paraId="1FA04834" w14:textId="77777777" w:rsidR="00E2348C" w:rsidRPr="00E2348C" w:rsidRDefault="00E2348C" w:rsidP="00E2348C">
      <w:pPr>
        <w:rPr>
          <w:lang w:val="en"/>
        </w:rPr>
      </w:pPr>
      <w:r w:rsidRPr="00E2348C">
        <w:rPr>
          <w:lang w:val="en"/>
        </w:rPr>
        <w:t>Completion of an associate degree (AA or AAS) is required to enter this course, or permission from program chair.</w:t>
      </w:r>
    </w:p>
    <w:p w14:paraId="62FEAC49" w14:textId="448B66DD" w:rsidR="00E2348C" w:rsidRPr="00E2348C" w:rsidRDefault="00E2348C" w:rsidP="00CB3FFC">
      <w:pPr>
        <w:pStyle w:val="Heading4"/>
        <w:rPr>
          <w:lang w:val="en"/>
        </w:rPr>
      </w:pPr>
      <w:r w:rsidRPr="00E2348C">
        <w:rPr>
          <w:lang w:val="en"/>
        </w:rPr>
        <w:t xml:space="preserve">Textbooks &amp; Supplemental Materials </w:t>
      </w:r>
    </w:p>
    <w:p w14:paraId="5F244B9A" w14:textId="77777777" w:rsidR="00E2348C" w:rsidRPr="00E2348C" w:rsidRDefault="00E2348C" w:rsidP="00E2348C">
      <w:pPr>
        <w:rPr>
          <w:lang w:val="en"/>
        </w:rPr>
      </w:pPr>
      <w:r w:rsidRPr="00E2348C">
        <w:rPr>
          <w:b/>
          <w:bCs/>
          <w:lang w:val="en"/>
        </w:rPr>
        <w:t>Title:</w:t>
      </w:r>
      <w:r w:rsidRPr="00E2348C">
        <w:rPr>
          <w:lang w:val="en"/>
        </w:rPr>
        <w:t xml:space="preserve"> An Introduction to Community and Public Health. 10th Edition</w:t>
      </w:r>
    </w:p>
    <w:p w14:paraId="0E75400B" w14:textId="77777777" w:rsidR="00E2348C" w:rsidRPr="00E2348C" w:rsidRDefault="00E2348C" w:rsidP="00E2348C">
      <w:pPr>
        <w:rPr>
          <w:lang w:val="en"/>
        </w:rPr>
      </w:pPr>
      <w:r w:rsidRPr="00E2348C">
        <w:rPr>
          <w:b/>
          <w:bCs/>
          <w:lang w:val="en"/>
        </w:rPr>
        <w:t>Author:</w:t>
      </w:r>
      <w:r w:rsidRPr="00E2348C">
        <w:rPr>
          <w:lang w:val="en"/>
        </w:rPr>
        <w:t xml:space="preserve"> McKenzie.</w:t>
      </w:r>
    </w:p>
    <w:p w14:paraId="4326AB74" w14:textId="77777777" w:rsidR="00E2348C" w:rsidRPr="00E2348C" w:rsidRDefault="00E2348C" w:rsidP="00E2348C">
      <w:pPr>
        <w:rPr>
          <w:lang w:val="en"/>
        </w:rPr>
      </w:pPr>
      <w:r w:rsidRPr="00E2348C">
        <w:rPr>
          <w:b/>
          <w:bCs/>
          <w:lang w:val="en"/>
        </w:rPr>
        <w:t>Publisher:</w:t>
      </w:r>
      <w:r w:rsidRPr="00E2348C">
        <w:rPr>
          <w:lang w:val="en"/>
        </w:rPr>
        <w:t xml:space="preserve"> Jones &amp; Bartlett Learning</w:t>
      </w:r>
    </w:p>
    <w:p w14:paraId="3D8C6997" w14:textId="77777777" w:rsidR="00E2348C" w:rsidRPr="00E2348C" w:rsidRDefault="00E2348C" w:rsidP="00E2348C">
      <w:pPr>
        <w:rPr>
          <w:lang w:val="en"/>
        </w:rPr>
      </w:pPr>
      <w:r w:rsidRPr="00E2348C">
        <w:rPr>
          <w:b/>
          <w:bCs/>
          <w:lang w:val="en"/>
        </w:rPr>
        <w:t>Print ISBN:</w:t>
      </w:r>
      <w:r w:rsidRPr="00E2348C">
        <w:rPr>
          <w:i/>
          <w:iCs/>
          <w:lang w:val="en"/>
        </w:rPr>
        <w:t xml:space="preserve"> </w:t>
      </w:r>
      <w:r w:rsidRPr="00E2348C">
        <w:rPr>
          <w:lang w:val="en"/>
        </w:rPr>
        <w:t>9781284202687</w:t>
      </w:r>
    </w:p>
    <w:p w14:paraId="4EBBA7A3" w14:textId="32F5F56B" w:rsidR="00E2348C" w:rsidRPr="00E2348C" w:rsidRDefault="00E2348C" w:rsidP="00CB3FFC">
      <w:pPr>
        <w:pStyle w:val="Heading4"/>
        <w:rPr>
          <w:lang w:val="en"/>
        </w:rPr>
      </w:pPr>
      <w:r w:rsidRPr="00E2348C">
        <w:rPr>
          <w:lang w:val="en"/>
        </w:rPr>
        <w:t xml:space="preserve">Technology Required </w:t>
      </w:r>
    </w:p>
    <w:p w14:paraId="101AF3A1" w14:textId="77777777" w:rsidR="00E2348C" w:rsidRPr="00E2348C" w:rsidRDefault="00E2348C" w:rsidP="00E2348C">
      <w:pPr>
        <w:numPr>
          <w:ilvl w:val="0"/>
          <w:numId w:val="2"/>
        </w:numPr>
        <w:rPr>
          <w:lang w:val="en"/>
        </w:rPr>
      </w:pPr>
      <w:r w:rsidRPr="00E2348C">
        <w:rPr>
          <w:lang w:val="en"/>
        </w:rPr>
        <w:t>Device (computer or tablet) that allows for word processing</w:t>
      </w:r>
    </w:p>
    <w:p w14:paraId="7501320A" w14:textId="77777777" w:rsidR="00E2348C" w:rsidRPr="00E2348C" w:rsidRDefault="00E2348C" w:rsidP="00E2348C">
      <w:pPr>
        <w:numPr>
          <w:ilvl w:val="0"/>
          <w:numId w:val="2"/>
        </w:numPr>
        <w:rPr>
          <w:lang w:val="en"/>
        </w:rPr>
      </w:pPr>
      <w:r w:rsidRPr="00E2348C">
        <w:rPr>
          <w:lang w:val="en"/>
        </w:rPr>
        <w:t>Webcam and Microphone</w:t>
      </w:r>
    </w:p>
    <w:p w14:paraId="49E99F92" w14:textId="77777777" w:rsidR="00E2348C" w:rsidRPr="00E2348C" w:rsidRDefault="00E2348C" w:rsidP="00E2348C">
      <w:pPr>
        <w:numPr>
          <w:ilvl w:val="0"/>
          <w:numId w:val="2"/>
        </w:numPr>
        <w:rPr>
          <w:lang w:val="en"/>
        </w:rPr>
      </w:pPr>
      <w:r w:rsidRPr="00E2348C">
        <w:rPr>
          <w:lang w:val="en"/>
        </w:rPr>
        <w:lastRenderedPageBreak/>
        <w:t>Basic Software – equivalent to Microsoft office</w:t>
      </w:r>
    </w:p>
    <w:p w14:paraId="229B7A49" w14:textId="77777777" w:rsidR="00E2348C" w:rsidRPr="00E2348C" w:rsidRDefault="00E2348C" w:rsidP="00E2348C">
      <w:pPr>
        <w:numPr>
          <w:ilvl w:val="0"/>
          <w:numId w:val="2"/>
        </w:numPr>
        <w:rPr>
          <w:lang w:val="en"/>
        </w:rPr>
      </w:pPr>
      <w:r w:rsidRPr="00E2348C">
        <w:rPr>
          <w:lang w:val="en"/>
        </w:rPr>
        <w:t>MS Office (PowerPoint, Word, Excel)</w:t>
      </w:r>
    </w:p>
    <w:p w14:paraId="41AEF89E" w14:textId="48D2E9D9" w:rsidR="00E2348C" w:rsidRPr="00E2348C" w:rsidRDefault="00E2348C" w:rsidP="00E2348C">
      <w:pPr>
        <w:numPr>
          <w:ilvl w:val="0"/>
          <w:numId w:val="2"/>
        </w:numPr>
        <w:rPr>
          <w:lang w:val="en"/>
        </w:rPr>
      </w:pPr>
      <w:r w:rsidRPr="00E2348C">
        <w:rPr>
          <w:lang w:val="en"/>
        </w:rPr>
        <w:t xml:space="preserve">Preferably a device where you can download or temporarily use other </w:t>
      </w:r>
      <w:r w:rsidR="001752FF" w:rsidRPr="00E2348C">
        <w:rPr>
          <w:lang w:val="en"/>
        </w:rPr>
        <w:t>open-source</w:t>
      </w:r>
      <w:r w:rsidRPr="00E2348C">
        <w:rPr>
          <w:lang w:val="en"/>
        </w:rPr>
        <w:t xml:space="preserve"> software introduced in this class or during the BAS program</w:t>
      </w:r>
    </w:p>
    <w:p w14:paraId="7084A4C8" w14:textId="77777777" w:rsidR="00E2348C" w:rsidRPr="00E2348C" w:rsidRDefault="00E2348C" w:rsidP="00E2348C">
      <w:pPr>
        <w:rPr>
          <w:lang w:val="en"/>
        </w:rPr>
      </w:pPr>
      <w:r w:rsidRPr="00E2348C">
        <w:rPr>
          <w:lang w:val="en"/>
        </w:rPr>
        <w:t>If you need support using technology or learning how to use Canvas, please visit the Information Commons in Building 16 on the first floor at the end of the hallway.</w:t>
      </w:r>
    </w:p>
    <w:p w14:paraId="34822ECC" w14:textId="458A9389" w:rsidR="00E2348C" w:rsidRPr="00E2348C" w:rsidRDefault="00E2348C" w:rsidP="00E2348C">
      <w:r w:rsidRPr="00E2348C">
        <w:t>﻿</w:t>
      </w:r>
    </w:p>
    <w:p w14:paraId="02603EEE" w14:textId="77777777" w:rsidR="00485CED" w:rsidRDefault="00485CED">
      <w:pPr>
        <w:rPr>
          <w:b/>
          <w:bCs/>
        </w:rPr>
      </w:pPr>
      <w:r>
        <w:rPr>
          <w:b/>
          <w:bCs/>
        </w:rPr>
        <w:br w:type="page"/>
      </w:r>
    </w:p>
    <w:p w14:paraId="014A1BF5" w14:textId="704AD87E" w:rsidR="00E2348C" w:rsidRDefault="00E2348C" w:rsidP="000A5A66">
      <w:pPr>
        <w:pStyle w:val="Heading1"/>
        <w:rPr>
          <w:rStyle w:val="IntenseReference"/>
        </w:rPr>
      </w:pPr>
      <w:bookmarkStart w:id="4" w:name="_Toc208488267"/>
      <w:r w:rsidRPr="000A5A66">
        <w:rPr>
          <w:rStyle w:val="IntenseReference"/>
        </w:rPr>
        <w:lastRenderedPageBreak/>
        <w:t>Learning Outcomes</w:t>
      </w:r>
      <w:bookmarkEnd w:id="4"/>
    </w:p>
    <w:p w14:paraId="1FED5ABB" w14:textId="77777777" w:rsidR="00801AC5" w:rsidRDefault="00801AC5" w:rsidP="000E3D8E">
      <w:r w:rsidRPr="00801AC5">
        <w:t xml:space="preserve">This course will explore the theories, evidence, and application of key concepts related to understanding and improving community health. Additionally, this course focuses on health and wellness in the context of social, political, economic, environmental, and biomedical factors. Health disparities and inequities will be examined, and potential solutions will be discussed. </w:t>
      </w:r>
    </w:p>
    <w:p w14:paraId="591CA8AA" w14:textId="77777777" w:rsidR="00333EAA" w:rsidRPr="00333EAA" w:rsidRDefault="00333EAA" w:rsidP="000E3D8E">
      <w:r w:rsidRPr="00333EAA">
        <w:t>Learning outcomes describe what you should be able to do by the end of a course. They help guide our work together and connect your learning in this class to the larger goals of the Community Health BAS program and to TCC’s Institutional Learning Outcomes.</w:t>
      </w:r>
    </w:p>
    <w:p w14:paraId="3B7F687C" w14:textId="77777777" w:rsidR="00333EAA" w:rsidRPr="00333EAA" w:rsidRDefault="00333EAA" w:rsidP="00333EAA">
      <w:r w:rsidRPr="00333EAA">
        <w:t>In this syllabus, you will see three levels of outcomes:</w:t>
      </w:r>
    </w:p>
    <w:p w14:paraId="21D83803" w14:textId="77777777" w:rsidR="00333EAA" w:rsidRPr="00333EAA" w:rsidRDefault="00333EAA" w:rsidP="00333EAA">
      <w:r w:rsidRPr="00333EAA">
        <w:rPr>
          <w:b/>
          <w:bCs/>
        </w:rPr>
        <w:t>Course Learning Outcomes (CLOs):</w:t>
      </w:r>
      <w:r w:rsidRPr="00333EAA">
        <w:t xml:space="preserve"> The specific knowledge and skills you will develop in this course.</w:t>
      </w:r>
    </w:p>
    <w:p w14:paraId="7EE99231" w14:textId="77777777" w:rsidR="00333EAA" w:rsidRPr="00333EAA" w:rsidRDefault="00333EAA" w:rsidP="00333EAA">
      <w:r w:rsidRPr="00333EAA">
        <w:rPr>
          <w:b/>
          <w:bCs/>
        </w:rPr>
        <w:t>Program Learning Outcomes (PLOs):</w:t>
      </w:r>
      <w:r w:rsidRPr="00333EAA">
        <w:t xml:space="preserve"> The broader goals of the Community Health BAS program.</w:t>
      </w:r>
    </w:p>
    <w:p w14:paraId="619A7076" w14:textId="77777777" w:rsidR="00333EAA" w:rsidRPr="00333EAA" w:rsidRDefault="00333EAA" w:rsidP="00333EAA">
      <w:r w:rsidRPr="00333EAA">
        <w:rPr>
          <w:b/>
          <w:bCs/>
        </w:rPr>
        <w:t>TCC Learning Outcomes (ILOs):</w:t>
      </w:r>
      <w:r w:rsidRPr="00333EAA">
        <w:t xml:space="preserve"> The college-wide learning goals that connect across programs and disciplines.</w:t>
      </w:r>
    </w:p>
    <w:p w14:paraId="7CD95912" w14:textId="77777777" w:rsidR="00333EAA" w:rsidRPr="00333EAA" w:rsidRDefault="00333EAA" w:rsidP="00333EAA">
      <w:r w:rsidRPr="00333EAA">
        <w:t xml:space="preserve">The </w:t>
      </w:r>
      <w:r w:rsidRPr="00333EAA">
        <w:rPr>
          <w:b/>
          <w:bCs/>
        </w:rPr>
        <w:t>Course Learning Outcomes</w:t>
      </w:r>
      <w:r w:rsidRPr="00333EAA">
        <w:t xml:space="preserve"> below align directly with the BAS Program Learning Outcomes, which in turn connect to TCC’s Institutional Learning Outcomes.</w:t>
      </w:r>
    </w:p>
    <w:p w14:paraId="0252E0CE" w14:textId="77777777" w:rsidR="00333EAA" w:rsidRPr="0079487D" w:rsidRDefault="00333EAA" w:rsidP="00333EAA">
      <w:pPr>
        <w:pStyle w:val="Heading3"/>
        <w:rPr>
          <w:sz w:val="22"/>
          <w:szCs w:val="22"/>
        </w:rPr>
      </w:pPr>
      <w:bookmarkStart w:id="5" w:name="_Toc208488268"/>
      <w:r w:rsidRPr="0079487D">
        <w:rPr>
          <w:sz w:val="22"/>
          <w:szCs w:val="22"/>
        </w:rPr>
        <w:t>Course Learning Objectives</w:t>
      </w:r>
      <w:bookmarkEnd w:id="5"/>
    </w:p>
    <w:p w14:paraId="4086E2E0" w14:textId="77777777" w:rsidR="00333EAA" w:rsidRPr="00E2348C" w:rsidRDefault="00333EAA" w:rsidP="00333EAA">
      <w:pPr>
        <w:numPr>
          <w:ilvl w:val="0"/>
          <w:numId w:val="4"/>
        </w:numPr>
        <w:spacing w:after="0"/>
      </w:pPr>
      <w:r w:rsidRPr="00E2348C">
        <w:t>Compare and contrast different disciplinary perspectives on population health. [2, 4, 5, 6, 8, 9]</w:t>
      </w:r>
    </w:p>
    <w:p w14:paraId="11BA9362" w14:textId="77777777" w:rsidR="00333EAA" w:rsidRPr="00E2348C" w:rsidRDefault="00333EAA" w:rsidP="00333EAA">
      <w:pPr>
        <w:numPr>
          <w:ilvl w:val="0"/>
          <w:numId w:val="4"/>
        </w:numPr>
        <w:spacing w:after="0"/>
      </w:pPr>
      <w:r w:rsidRPr="00E2348C">
        <w:t>Analyze ways that populations have changed over time and how these changes impact health care delivery and community health systems. [1, 6, 9]</w:t>
      </w:r>
    </w:p>
    <w:p w14:paraId="3DB4BF37" w14:textId="77777777" w:rsidR="00333EAA" w:rsidRPr="00E2348C" w:rsidRDefault="00333EAA" w:rsidP="00333EAA">
      <w:pPr>
        <w:numPr>
          <w:ilvl w:val="0"/>
          <w:numId w:val="4"/>
        </w:numPr>
        <w:spacing w:after="0"/>
      </w:pPr>
      <w:r w:rsidRPr="00E2348C">
        <w:t>Summarize the underlying factors contributing to disparities across populations including race, ethnicity, gender, socioeconomic status, sexual orientation, and disabilities. [2. 5, 7]</w:t>
      </w:r>
    </w:p>
    <w:p w14:paraId="5A1865B0" w14:textId="77777777" w:rsidR="00333EAA" w:rsidRPr="00E2348C" w:rsidRDefault="00333EAA" w:rsidP="00333EAA">
      <w:pPr>
        <w:numPr>
          <w:ilvl w:val="0"/>
          <w:numId w:val="4"/>
        </w:numPr>
        <w:spacing w:after="0"/>
      </w:pPr>
      <w:r w:rsidRPr="00E2348C">
        <w:t>Examine the structure and function of government and non-governmental health organizations. [2, 9]</w:t>
      </w:r>
    </w:p>
    <w:p w14:paraId="7502006E" w14:textId="77777777" w:rsidR="00333EAA" w:rsidRPr="00E2348C" w:rsidRDefault="00333EAA" w:rsidP="00333EAA">
      <w:pPr>
        <w:numPr>
          <w:ilvl w:val="0"/>
          <w:numId w:val="4"/>
        </w:numPr>
        <w:spacing w:after="0"/>
      </w:pPr>
      <w:r w:rsidRPr="00E2348C">
        <w:t>Review the environmental factors that contribute to health issues across the lifespan. [2, 4]</w:t>
      </w:r>
    </w:p>
    <w:p w14:paraId="68D76096" w14:textId="77777777" w:rsidR="00333EAA" w:rsidRPr="00E2348C" w:rsidRDefault="00333EAA" w:rsidP="00333EAA">
      <w:pPr>
        <w:numPr>
          <w:ilvl w:val="0"/>
          <w:numId w:val="4"/>
        </w:numPr>
        <w:spacing w:after="0"/>
      </w:pPr>
      <w:r w:rsidRPr="00E2348C">
        <w:t>Examine strategies addressing emergency preparedness for natural disasters, disease outbreaks, and terrorism. [2, 4, 9]</w:t>
      </w:r>
    </w:p>
    <w:p w14:paraId="29A15899" w14:textId="77777777" w:rsidR="00333EAA" w:rsidRPr="00E2348C" w:rsidRDefault="00333EAA" w:rsidP="00333EAA">
      <w:pPr>
        <w:numPr>
          <w:ilvl w:val="0"/>
          <w:numId w:val="4"/>
        </w:numPr>
        <w:spacing w:after="0"/>
      </w:pPr>
      <w:r w:rsidRPr="00E2348C">
        <w:t>Examine the emotional, physical, cognitive, and social effects of secondary trauma and develop a preventative plan to avoid compassion fatigue and burnout. [10]</w:t>
      </w:r>
    </w:p>
    <w:p w14:paraId="2DD0B3F5" w14:textId="77777777" w:rsidR="00333EAA" w:rsidRPr="00E2348C" w:rsidRDefault="00333EAA" w:rsidP="00333EAA">
      <w:pPr>
        <w:numPr>
          <w:ilvl w:val="0"/>
          <w:numId w:val="4"/>
        </w:numPr>
        <w:spacing w:after="0"/>
      </w:pPr>
      <w:r w:rsidRPr="00E2348C">
        <w:t>Summarize the goals and objectives of the Healthy People 2020 initiative. [1, 4, 6, 10, 11]</w:t>
      </w:r>
    </w:p>
    <w:p w14:paraId="07A7C064" w14:textId="77777777" w:rsidR="003E589A" w:rsidRPr="0079487D" w:rsidRDefault="00333EAA" w:rsidP="003E589A">
      <w:pPr>
        <w:rPr>
          <w:sz w:val="20"/>
          <w:szCs w:val="20"/>
        </w:rPr>
      </w:pPr>
      <w:r w:rsidRPr="00E2348C">
        <w:t>﻿</w:t>
      </w:r>
    </w:p>
    <w:p w14:paraId="3347147D" w14:textId="734A623D" w:rsidR="00333EAA" w:rsidRPr="000E3D8E" w:rsidRDefault="00333EAA" w:rsidP="003E589A">
      <w:pPr>
        <w:rPr>
          <w:rStyle w:val="Heading3Char"/>
        </w:rPr>
      </w:pPr>
      <w:r w:rsidRPr="0079487D">
        <w:rPr>
          <w:sz w:val="18"/>
          <w:szCs w:val="18"/>
        </w:rPr>
        <w:t>﻿</w:t>
      </w:r>
      <w:r w:rsidRPr="000E3D8E">
        <w:rPr>
          <w:rStyle w:val="Heading3Char"/>
        </w:rPr>
        <w:t>Community Health BAS Program Learning Objectives</w:t>
      </w:r>
    </w:p>
    <w:p w14:paraId="48E9CC36" w14:textId="77777777" w:rsidR="00333EAA" w:rsidRDefault="00333EAA" w:rsidP="00333EAA">
      <w:pPr>
        <w:pStyle w:val="ListParagraph"/>
        <w:numPr>
          <w:ilvl w:val="0"/>
          <w:numId w:val="22"/>
        </w:numPr>
      </w:pPr>
      <w:r>
        <w:t xml:space="preserve">Identify and critique the influences of community health policies and practices on past, present, and future critical health issues of society. (COK, CRT) </w:t>
      </w:r>
    </w:p>
    <w:p w14:paraId="4C4C146D" w14:textId="77777777" w:rsidR="00333EAA" w:rsidRDefault="00333EAA" w:rsidP="00333EAA">
      <w:pPr>
        <w:pStyle w:val="ListParagraph"/>
        <w:numPr>
          <w:ilvl w:val="0"/>
          <w:numId w:val="22"/>
        </w:numPr>
      </w:pPr>
      <w:r>
        <w:t xml:space="preserve">Identify the fundamental principles of community health to individual, community, and population health issues as well as disease incidence and prevalence. (COK, CRT) </w:t>
      </w:r>
    </w:p>
    <w:p w14:paraId="1DB86727" w14:textId="77777777" w:rsidR="00333EAA" w:rsidRDefault="00333EAA" w:rsidP="00333EAA">
      <w:pPr>
        <w:pStyle w:val="ListParagraph"/>
        <w:numPr>
          <w:ilvl w:val="0"/>
          <w:numId w:val="22"/>
        </w:numPr>
      </w:pPr>
      <w:r>
        <w:t xml:space="preserve">Examine the causes and prevalence of chronic and infectious diseases and describe prevention, maintenance, and treatment strategies. (COK, CRT) </w:t>
      </w:r>
    </w:p>
    <w:p w14:paraId="4659F692" w14:textId="77777777" w:rsidR="00333EAA" w:rsidRDefault="00333EAA" w:rsidP="00333EAA">
      <w:pPr>
        <w:pStyle w:val="ListParagraph"/>
        <w:numPr>
          <w:ilvl w:val="0"/>
          <w:numId w:val="22"/>
        </w:numPr>
      </w:pPr>
      <w:r>
        <w:lastRenderedPageBreak/>
        <w:t xml:space="preserve">Describe the role of theory in health promotion, research, and practice to understand and change environmental and behavioral factors. (COK, COM, CRT, IIT) </w:t>
      </w:r>
    </w:p>
    <w:p w14:paraId="045509BF" w14:textId="77777777" w:rsidR="00333EAA" w:rsidRDefault="00333EAA" w:rsidP="00333EAA">
      <w:pPr>
        <w:pStyle w:val="ListParagraph"/>
        <w:numPr>
          <w:ilvl w:val="0"/>
          <w:numId w:val="22"/>
        </w:numPr>
      </w:pPr>
      <w:r>
        <w:t xml:space="preserve">Identify and critique the impact of health disparities in health behaviors, intervention strategies, community health policies, and access to quality healthcare. (COK, CRT, LWC) </w:t>
      </w:r>
    </w:p>
    <w:p w14:paraId="4D639B89" w14:textId="77777777" w:rsidR="00333EAA" w:rsidRDefault="00333EAA" w:rsidP="00333EAA">
      <w:pPr>
        <w:pStyle w:val="ListParagraph"/>
        <w:numPr>
          <w:ilvl w:val="0"/>
          <w:numId w:val="22"/>
        </w:numPr>
      </w:pPr>
      <w:r>
        <w:t xml:space="preserve">Critique cultural, legal, policy, and ethical factors that influence health status of individuals and populations. (COK, CRT, LWC, RES) </w:t>
      </w:r>
    </w:p>
    <w:p w14:paraId="0152A4A0" w14:textId="77777777" w:rsidR="00333EAA" w:rsidRDefault="00333EAA" w:rsidP="00333EAA">
      <w:pPr>
        <w:pStyle w:val="ListParagraph"/>
        <w:numPr>
          <w:ilvl w:val="0"/>
          <w:numId w:val="22"/>
        </w:numPr>
      </w:pPr>
      <w:r>
        <w:t xml:space="preserve">Use appropriate research and statistical tools and techniques to evaluate community health data related to outcomes, prevention, management, and treatment approaches. (COK, COM, CRT, IIT, RES) </w:t>
      </w:r>
    </w:p>
    <w:p w14:paraId="508634DA" w14:textId="342AD61E" w:rsidR="00333EAA" w:rsidRDefault="00333EAA" w:rsidP="005F1E0D">
      <w:pPr>
        <w:pStyle w:val="ListParagraph"/>
        <w:numPr>
          <w:ilvl w:val="0"/>
          <w:numId w:val="22"/>
        </w:numPr>
      </w:pPr>
      <w:r>
        <w:t xml:space="preserve">Identify culturally sensitive approaches to health communication with individuals, groups, communities, and populations. (COK, COM, IIT, LWC, RES) </w:t>
      </w:r>
    </w:p>
    <w:p w14:paraId="47A679AB" w14:textId="77777777" w:rsidR="00333EAA" w:rsidRDefault="00333EAA" w:rsidP="00333EAA">
      <w:pPr>
        <w:pStyle w:val="ListParagraph"/>
        <w:numPr>
          <w:ilvl w:val="0"/>
          <w:numId w:val="22"/>
        </w:numPr>
      </w:pPr>
      <w:r>
        <w:t xml:space="preserve">Develop and appraise community programs and interventions through assessment, planning, implementation, and evaluation. (COK, COM, CRT, RES) </w:t>
      </w:r>
    </w:p>
    <w:p w14:paraId="5896733B" w14:textId="77777777" w:rsidR="00333EAA" w:rsidRDefault="00333EAA" w:rsidP="00333EAA">
      <w:pPr>
        <w:pStyle w:val="ListParagraph"/>
        <w:numPr>
          <w:ilvl w:val="0"/>
          <w:numId w:val="22"/>
        </w:numPr>
      </w:pPr>
      <w:r>
        <w:t xml:space="preserve">Practice team collaboration, leadership, and management skills in a variety of settings. (COK, COM, LWC, RES) </w:t>
      </w:r>
    </w:p>
    <w:p w14:paraId="1ECF7DAB" w14:textId="77777777" w:rsidR="00333EAA" w:rsidRDefault="00333EAA" w:rsidP="00333EAA">
      <w:pPr>
        <w:pStyle w:val="ListParagraph"/>
        <w:numPr>
          <w:ilvl w:val="0"/>
          <w:numId w:val="22"/>
        </w:numPr>
      </w:pPr>
      <w:r>
        <w:t xml:space="preserve">Use effective written and oral skills to communicate with different populations within a given community. (COK, COM, CRT, IIT, LWC, RES) </w:t>
      </w:r>
    </w:p>
    <w:p w14:paraId="1914DDCB" w14:textId="77777777" w:rsidR="00333EAA" w:rsidRPr="00E2348C" w:rsidRDefault="00333EAA" w:rsidP="00333EAA">
      <w:pPr>
        <w:pStyle w:val="ListParagraph"/>
        <w:numPr>
          <w:ilvl w:val="0"/>
          <w:numId w:val="22"/>
        </w:numPr>
      </w:pPr>
      <w:r>
        <w:t>Create and deliver patient/client/community education. (</w:t>
      </w:r>
      <w:proofErr w:type="gramStart"/>
      <w:r>
        <w:t>COK,COM</w:t>
      </w:r>
      <w:proofErr w:type="gramEnd"/>
      <w:r>
        <w:t>,</w:t>
      </w:r>
      <w:proofErr w:type="gramStart"/>
      <w:r>
        <w:t>CRT,IIT.LWC.RES</w:t>
      </w:r>
      <w:proofErr w:type="gramEnd"/>
      <w:r>
        <w:t>)</w:t>
      </w:r>
    </w:p>
    <w:p w14:paraId="131F434C" w14:textId="3875F2B8" w:rsidR="00E2348C" w:rsidRPr="0079487D" w:rsidRDefault="00E2348C" w:rsidP="00076E89">
      <w:pPr>
        <w:pStyle w:val="Heading3"/>
        <w:rPr>
          <w:sz w:val="20"/>
          <w:szCs w:val="20"/>
        </w:rPr>
      </w:pPr>
      <w:bookmarkStart w:id="6" w:name="_Toc208488269"/>
      <w:r w:rsidRPr="0079487D">
        <w:rPr>
          <w:sz w:val="22"/>
          <w:szCs w:val="22"/>
        </w:rPr>
        <w:t>Tacoma Community College Learning Objectives</w:t>
      </w:r>
      <w:bookmarkEnd w:id="6"/>
    </w:p>
    <w:p w14:paraId="3165846B" w14:textId="77777777" w:rsidR="00E2348C" w:rsidRPr="00E2348C" w:rsidRDefault="00E2348C" w:rsidP="00E2348C">
      <w:pPr>
        <w:numPr>
          <w:ilvl w:val="0"/>
          <w:numId w:val="3"/>
        </w:numPr>
      </w:pPr>
      <w:r w:rsidRPr="00E2348C">
        <w:t>Living &amp; Working Cooperatively/Valuing Differences (LWC): Respectfully acknowledge diverse points of view, and draw upon the knowledge and experience of others to collaborate in a multicultural and complex world.</w:t>
      </w:r>
    </w:p>
    <w:p w14:paraId="1E95B8A1" w14:textId="77777777" w:rsidR="00E2348C" w:rsidRPr="00E2348C" w:rsidRDefault="00E2348C" w:rsidP="00E2348C">
      <w:pPr>
        <w:numPr>
          <w:ilvl w:val="0"/>
          <w:numId w:val="3"/>
        </w:numPr>
      </w:pPr>
      <w:r w:rsidRPr="00E2348C">
        <w:t>Responsibility &amp; Ethics (RES): Demonstrate an understanding of what constitutes responsible and ethical behavior toward individuals, the community, and the environment</w:t>
      </w:r>
    </w:p>
    <w:p w14:paraId="70D8B9B6" w14:textId="77777777" w:rsidR="00E2348C" w:rsidRPr="00E2348C" w:rsidRDefault="00E2348C" w:rsidP="00E2348C">
      <w:pPr>
        <w:numPr>
          <w:ilvl w:val="0"/>
          <w:numId w:val="3"/>
        </w:numPr>
      </w:pPr>
      <w:r w:rsidRPr="00E2348C">
        <w:t>Core of Knowledge (COK): Demonstrate a basic knowledge of each of the distribution areas (Written Communication, Humanities, Quantitative Skills, Natural Sciences and Social Sciences; or, as applicable, specific Professional/Technical programs), integrate knowledge across disciplines, and apply this knowledge to academic, occupational, civic and personal endeavors.</w:t>
      </w:r>
    </w:p>
    <w:p w14:paraId="45596CAC" w14:textId="77777777" w:rsidR="00E2348C" w:rsidRPr="00E2348C" w:rsidRDefault="00E2348C" w:rsidP="00E2348C">
      <w:pPr>
        <w:numPr>
          <w:ilvl w:val="0"/>
          <w:numId w:val="3"/>
        </w:numPr>
      </w:pPr>
      <w:r w:rsidRPr="00E2348C">
        <w:t>Communication (COM): Listen, speak, read, and write effectively and use nonverbal and technological means to make connections between self and others.</w:t>
      </w:r>
    </w:p>
    <w:p w14:paraId="12AAD3C9" w14:textId="77777777" w:rsidR="00E2348C" w:rsidRPr="00E2348C" w:rsidRDefault="00E2348C" w:rsidP="00E2348C">
      <w:pPr>
        <w:numPr>
          <w:ilvl w:val="0"/>
          <w:numId w:val="3"/>
        </w:numPr>
      </w:pPr>
      <w:r w:rsidRPr="00E2348C">
        <w:t>Critical Thinking &amp; Problem Solving (CRT): Compare, analyze, and evaluate information and ideas, and use sound thinking skills to solve problems.</w:t>
      </w:r>
    </w:p>
    <w:p w14:paraId="3E8B7C91" w14:textId="77777777" w:rsidR="00E2348C" w:rsidRDefault="00E2348C" w:rsidP="00E2348C">
      <w:pPr>
        <w:numPr>
          <w:ilvl w:val="0"/>
          <w:numId w:val="3"/>
        </w:numPr>
      </w:pPr>
      <w:r w:rsidRPr="00E2348C">
        <w:t>Information &amp; Information Technology (IIT): Locate, evaluate, retrieve, and ethically use relevant and current information of appropriate authority for both academic and personal applications.</w:t>
      </w:r>
    </w:p>
    <w:p w14:paraId="1FFD526F" w14:textId="77777777" w:rsidR="00E2348C" w:rsidRPr="007E68BF" w:rsidRDefault="00E2348C" w:rsidP="007E68BF">
      <w:pPr>
        <w:pStyle w:val="Heading3"/>
        <w:rPr>
          <w:sz w:val="22"/>
          <w:szCs w:val="22"/>
        </w:rPr>
      </w:pPr>
      <w:bookmarkStart w:id="7" w:name="_Toc208488270"/>
      <w:r w:rsidRPr="007E68BF">
        <w:rPr>
          <w:sz w:val="22"/>
          <w:szCs w:val="22"/>
        </w:rPr>
        <w:t>Instructional Methods Used</w:t>
      </w:r>
      <w:bookmarkEnd w:id="7"/>
    </w:p>
    <w:p w14:paraId="736A6999" w14:textId="31BFB03F" w:rsidR="007E68BF" w:rsidRDefault="007E68BF" w:rsidP="00E2348C">
      <w:r w:rsidRPr="007E68BF">
        <w:t>This is an upper-division course, which means you’ll be expected to take an active, self-directed role in your learning. Each week, you’ll engage with readings, narrated tutorials, and online discussions. Our class will be interactive and applied</w:t>
      </w:r>
      <w:r>
        <w:t>. T</w:t>
      </w:r>
      <w:r w:rsidRPr="007E68BF">
        <w:t>he more you participate and share your perspectives, the richer our learning community will be.</w:t>
      </w:r>
    </w:p>
    <w:p w14:paraId="24BDA0A9" w14:textId="1277BA99" w:rsidR="00E2348C" w:rsidRPr="00E2348C" w:rsidRDefault="00E2348C" w:rsidP="00CB3FFC">
      <w:pPr>
        <w:pStyle w:val="Heading4"/>
      </w:pPr>
      <w:r w:rsidRPr="00E2348C">
        <w:lastRenderedPageBreak/>
        <w:t>Readings and Medi</w:t>
      </w:r>
      <w:r w:rsidR="0091246A">
        <w:t>a</w:t>
      </w:r>
    </w:p>
    <w:p w14:paraId="04EB4257" w14:textId="56F83725" w:rsidR="003A0C24" w:rsidRPr="006838E2" w:rsidRDefault="003A0C24" w:rsidP="003A0C24">
      <w:pPr>
        <w:pStyle w:val="ListParagraph"/>
        <w:numPr>
          <w:ilvl w:val="0"/>
          <w:numId w:val="13"/>
        </w:numPr>
      </w:pPr>
      <w:r w:rsidRPr="006838E2">
        <w:t>Each weekly lesson may include readings, audio or video tutorials, and recorded lectures. Tutorials highlight key ideas and expand on the assigned readings.</w:t>
      </w:r>
    </w:p>
    <w:p w14:paraId="505CACE4" w14:textId="4877D32D" w:rsidR="003A0C24" w:rsidRPr="006838E2" w:rsidRDefault="003A0C24" w:rsidP="003A0C24">
      <w:pPr>
        <w:pStyle w:val="ListParagraph"/>
        <w:numPr>
          <w:ilvl w:val="0"/>
          <w:numId w:val="13"/>
        </w:numPr>
      </w:pPr>
      <w:r w:rsidRPr="006838E2">
        <w:t>Required readings come from our course textbook as well as additional articles posted in each Canvas module. Please complete the readings first before moving on to the tutorials and activities.</w:t>
      </w:r>
    </w:p>
    <w:p w14:paraId="0E6183E4" w14:textId="1E88515B" w:rsidR="003A0C24" w:rsidRPr="006838E2" w:rsidRDefault="003A0C24" w:rsidP="003A0C24">
      <w:pPr>
        <w:pStyle w:val="ListParagraph"/>
        <w:numPr>
          <w:ilvl w:val="0"/>
          <w:numId w:val="13"/>
        </w:numPr>
      </w:pPr>
      <w:r w:rsidRPr="006838E2">
        <w:t>All readings and media are provided in our Canvas course. If you need software to open PDF files, you can download a free version of Adobe Reader (link available in Canvas).</w:t>
      </w:r>
    </w:p>
    <w:p w14:paraId="4E0D8C3B" w14:textId="78162260" w:rsidR="003A0C24" w:rsidRPr="006838E2" w:rsidRDefault="003A0C24" w:rsidP="003A0C24">
      <w:pPr>
        <w:pStyle w:val="ListParagraph"/>
        <w:numPr>
          <w:ilvl w:val="0"/>
          <w:numId w:val="13"/>
        </w:numPr>
      </w:pPr>
      <w:r w:rsidRPr="006838E2">
        <w:t>Your participation in discussions and activities will be more meaningful if you come prepared, having read the assigned materials and watched the tutorials.</w:t>
      </w:r>
    </w:p>
    <w:p w14:paraId="23FFA13E" w14:textId="22F13C69" w:rsidR="003A0C24" w:rsidRPr="003A0C24" w:rsidRDefault="003A0C24" w:rsidP="00CB3FFC">
      <w:pPr>
        <w:pStyle w:val="Heading4"/>
      </w:pPr>
      <w:r>
        <w:t>A</w:t>
      </w:r>
      <w:r w:rsidRPr="003A0C24">
        <w:t>ssignments</w:t>
      </w:r>
    </w:p>
    <w:p w14:paraId="20D97AC7" w14:textId="77777777" w:rsidR="003A0C24" w:rsidRPr="003A0C24" w:rsidRDefault="003A0C24" w:rsidP="0079487D">
      <w:pPr>
        <w:spacing w:after="0"/>
      </w:pPr>
      <w:r w:rsidRPr="003A0C24">
        <w:t>Assignments in this course are designed to help you apply and deepen your understanding of community health concepts. They may include:</w:t>
      </w:r>
    </w:p>
    <w:p w14:paraId="5247E10F" w14:textId="77777777" w:rsidR="003A0C24" w:rsidRPr="003A0C24" w:rsidRDefault="003A0C24" w:rsidP="0079487D">
      <w:pPr>
        <w:numPr>
          <w:ilvl w:val="0"/>
          <w:numId w:val="14"/>
        </w:numPr>
        <w:spacing w:after="0"/>
      </w:pPr>
      <w:r w:rsidRPr="003A0C24">
        <w:t>Individual or group projects</w:t>
      </w:r>
    </w:p>
    <w:p w14:paraId="2A91E234" w14:textId="77777777" w:rsidR="003A0C24" w:rsidRPr="003A0C24" w:rsidRDefault="003A0C24" w:rsidP="0079487D">
      <w:pPr>
        <w:numPr>
          <w:ilvl w:val="0"/>
          <w:numId w:val="14"/>
        </w:numPr>
        <w:spacing w:after="0"/>
      </w:pPr>
      <w:r w:rsidRPr="003A0C24">
        <w:t>Quizzes or exams</w:t>
      </w:r>
    </w:p>
    <w:p w14:paraId="399FB1FE" w14:textId="77777777" w:rsidR="003A0C24" w:rsidRPr="003A0C24" w:rsidRDefault="003A0C24" w:rsidP="0079487D">
      <w:pPr>
        <w:numPr>
          <w:ilvl w:val="0"/>
          <w:numId w:val="14"/>
        </w:numPr>
        <w:spacing w:after="0"/>
      </w:pPr>
      <w:r w:rsidRPr="003A0C24">
        <w:t>Recorded presentations (video or audio)</w:t>
      </w:r>
    </w:p>
    <w:p w14:paraId="3E7C3397" w14:textId="77777777" w:rsidR="003A0C24" w:rsidRPr="003A0C24" w:rsidRDefault="003A0C24" w:rsidP="0079487D">
      <w:pPr>
        <w:numPr>
          <w:ilvl w:val="0"/>
          <w:numId w:val="14"/>
        </w:numPr>
        <w:spacing w:after="0"/>
      </w:pPr>
      <w:r w:rsidRPr="003A0C24">
        <w:t>Online discussion forums</w:t>
      </w:r>
    </w:p>
    <w:p w14:paraId="7BE422F9" w14:textId="77777777" w:rsidR="0079487D" w:rsidRDefault="0079487D" w:rsidP="0079487D">
      <w:pPr>
        <w:spacing w:after="0"/>
      </w:pPr>
    </w:p>
    <w:p w14:paraId="3DD40B49" w14:textId="236BDC03" w:rsidR="003A0C24" w:rsidRPr="003A0C24" w:rsidRDefault="003A0C24" w:rsidP="0079487D">
      <w:pPr>
        <w:spacing w:after="0"/>
      </w:pPr>
      <w:r w:rsidRPr="003A0C24">
        <w:t xml:space="preserve">Assignments are due according to the schedule posted in Canvas. Be sure to read instructions </w:t>
      </w:r>
      <w:r w:rsidR="00E9225E" w:rsidRPr="003A0C24">
        <w:t>carefully and</w:t>
      </w:r>
      <w:r w:rsidRPr="003A0C24">
        <w:t xml:space="preserve"> reach out if anything is unclear.</w:t>
      </w:r>
    </w:p>
    <w:p w14:paraId="0307C3DB" w14:textId="77777777" w:rsidR="0079487D" w:rsidRDefault="0079487D" w:rsidP="0079487D">
      <w:pPr>
        <w:spacing w:after="0"/>
      </w:pPr>
    </w:p>
    <w:p w14:paraId="0AC1CAC9" w14:textId="7A1E9A06" w:rsidR="003A0C24" w:rsidRPr="003A0C24" w:rsidRDefault="003A0C24" w:rsidP="0079487D">
      <w:pPr>
        <w:spacing w:after="0"/>
      </w:pPr>
      <w:r w:rsidRPr="003A0C24">
        <w:t xml:space="preserve">All work must be submitted in </w:t>
      </w:r>
      <w:r w:rsidRPr="003A0C24">
        <w:rPr>
          <w:b/>
          <w:bCs/>
        </w:rPr>
        <w:t>PDF or .doc(x)</w:t>
      </w:r>
      <w:r w:rsidRPr="003A0C24">
        <w:t xml:space="preserve"> format through Canvas by the listed deadline. Canvas automatically closes assignments at the due time, so please plan ahead and avoid last-minute uploads. Double-check that you’ve submitted the correct file.</w:t>
      </w:r>
    </w:p>
    <w:p w14:paraId="2575CB8D" w14:textId="35F2648A" w:rsidR="00E2348C" w:rsidRPr="000A5A66" w:rsidRDefault="00E2348C" w:rsidP="000A5A66">
      <w:pPr>
        <w:pStyle w:val="Heading1"/>
        <w:rPr>
          <w:rStyle w:val="IntenseReference"/>
        </w:rPr>
      </w:pPr>
      <w:bookmarkStart w:id="8" w:name="_Toc208488271"/>
      <w:r w:rsidRPr="000A5A66">
        <w:rPr>
          <w:rStyle w:val="IntenseReference"/>
        </w:rPr>
        <w:t>﻿Professor and Student Expectations</w:t>
      </w:r>
      <w:bookmarkEnd w:id="8"/>
    </w:p>
    <w:p w14:paraId="54F8DE9B" w14:textId="66A0AC60" w:rsidR="00E2348C" w:rsidRPr="00E2348C" w:rsidRDefault="00E2348C" w:rsidP="00CB3FFC">
      <w:pPr>
        <w:pStyle w:val="Heading3"/>
        <w:rPr>
          <w:lang w:val="en"/>
        </w:rPr>
      </w:pPr>
      <w:bookmarkStart w:id="9" w:name="_Toc208488272"/>
      <w:r w:rsidRPr="00E2348C">
        <w:t>﻿</w:t>
      </w:r>
      <w:r w:rsidRPr="00CB3FFC">
        <w:rPr>
          <w:sz w:val="22"/>
          <w:szCs w:val="22"/>
          <w:lang w:val="en"/>
        </w:rPr>
        <w:t>Chosen Name and Pronouns</w:t>
      </w:r>
      <w:bookmarkEnd w:id="9"/>
    </w:p>
    <w:p w14:paraId="7477D0A5" w14:textId="77777777" w:rsidR="00457C37" w:rsidRPr="00457C37" w:rsidRDefault="00457C37" w:rsidP="00457C37">
      <w:r w:rsidRPr="00457C37">
        <w:t>Everyone has the right to be addressed by the name and pronouns that correspond with their gender identity. Class rosters don't list gender or pronouns, so you may be asked to indicate the pronouns you use so that I don't make assumptions based on your name and/or appearance/self-presentation. However, you are not obligated to share your pronouns. If you use a chosen name, please let me know. Chosen names and pronouns are to be respected at all times in the classroom. Mistakes in addressing one another may happen, so I encourage an environment of seriousness and openness to correction and learning.</w:t>
      </w:r>
    </w:p>
    <w:p w14:paraId="682CED11" w14:textId="552412CA" w:rsidR="00E2348C" w:rsidRPr="000A5A66" w:rsidRDefault="00E2348C" w:rsidP="000A5A66">
      <w:pPr>
        <w:pStyle w:val="Heading3"/>
        <w:rPr>
          <w:sz w:val="22"/>
          <w:szCs w:val="22"/>
          <w:lang w:val="en"/>
        </w:rPr>
      </w:pPr>
      <w:bookmarkStart w:id="10" w:name="_Toc208488273"/>
      <w:r w:rsidRPr="000A5A66">
        <w:rPr>
          <w:sz w:val="22"/>
          <w:szCs w:val="22"/>
          <w:lang w:val="en"/>
        </w:rPr>
        <w:t>Professor Expectations</w:t>
      </w:r>
      <w:bookmarkEnd w:id="10"/>
    </w:p>
    <w:p w14:paraId="1E8FA59B" w14:textId="615E484E" w:rsidR="00E2348C" w:rsidRPr="00E2348C" w:rsidRDefault="00E2348C" w:rsidP="00FE1D63">
      <w:pPr>
        <w:spacing w:after="0"/>
        <w:rPr>
          <w:lang w:val="en"/>
        </w:rPr>
      </w:pPr>
      <w:r w:rsidRPr="00E2348C">
        <w:rPr>
          <w:lang w:val="en"/>
        </w:rPr>
        <w:t xml:space="preserve">As your professor, I will work to create an atmosphere that will </w:t>
      </w:r>
      <w:r w:rsidR="00C8789D">
        <w:rPr>
          <w:lang w:val="en"/>
        </w:rPr>
        <w:t xml:space="preserve">support your learning and </w:t>
      </w:r>
      <w:r w:rsidR="004B03BB">
        <w:rPr>
          <w:lang w:val="en"/>
        </w:rPr>
        <w:t xml:space="preserve">ability to apply </w:t>
      </w:r>
      <w:r w:rsidRPr="00E2348C">
        <w:rPr>
          <w:lang w:val="en"/>
        </w:rPr>
        <w:t xml:space="preserve">course concepts. </w:t>
      </w:r>
      <w:r w:rsidR="00E9225E">
        <w:rPr>
          <w:lang w:val="en"/>
        </w:rPr>
        <w:t>To that end, I intend to:</w:t>
      </w:r>
    </w:p>
    <w:p w14:paraId="07D0EB87" w14:textId="6E51A09C" w:rsidR="00E2348C" w:rsidRPr="00E2348C" w:rsidRDefault="00E9225E" w:rsidP="00FE1D63">
      <w:pPr>
        <w:numPr>
          <w:ilvl w:val="0"/>
          <w:numId w:val="5"/>
        </w:numPr>
        <w:spacing w:after="0"/>
        <w:rPr>
          <w:lang w:val="en"/>
        </w:rPr>
      </w:pPr>
      <w:r>
        <w:rPr>
          <w:lang w:val="en"/>
        </w:rPr>
        <w:t>Get to</w:t>
      </w:r>
      <w:r w:rsidR="00E2348C" w:rsidRPr="00E2348C">
        <w:rPr>
          <w:lang w:val="en"/>
        </w:rPr>
        <w:t xml:space="preserve"> know you and your goals </w:t>
      </w:r>
      <w:r>
        <w:rPr>
          <w:lang w:val="en"/>
        </w:rPr>
        <w:t>f</w:t>
      </w:r>
      <w:r w:rsidR="00E2348C" w:rsidRPr="00E2348C">
        <w:rPr>
          <w:lang w:val="en"/>
        </w:rPr>
        <w:t>or this class.</w:t>
      </w:r>
    </w:p>
    <w:p w14:paraId="74E840B4" w14:textId="1AD37E65" w:rsidR="00E2348C" w:rsidRPr="00E2348C" w:rsidRDefault="00E9225E" w:rsidP="00FE1D63">
      <w:pPr>
        <w:numPr>
          <w:ilvl w:val="0"/>
          <w:numId w:val="5"/>
        </w:numPr>
        <w:spacing w:after="0"/>
        <w:rPr>
          <w:lang w:val="en"/>
        </w:rPr>
      </w:pPr>
      <w:r>
        <w:rPr>
          <w:lang w:val="en"/>
        </w:rPr>
        <w:t>Meet</w:t>
      </w:r>
      <w:r w:rsidR="00E2348C" w:rsidRPr="00E2348C">
        <w:rPr>
          <w:lang w:val="en"/>
        </w:rPr>
        <w:t xml:space="preserve"> with you individually at least one time during the quarter.</w:t>
      </w:r>
    </w:p>
    <w:p w14:paraId="67A6E012" w14:textId="357C9358" w:rsidR="00E2348C" w:rsidRPr="00E2348C" w:rsidRDefault="00E9225E" w:rsidP="00FE1D63">
      <w:pPr>
        <w:numPr>
          <w:ilvl w:val="0"/>
          <w:numId w:val="5"/>
        </w:numPr>
        <w:spacing w:after="0"/>
        <w:rPr>
          <w:lang w:val="en"/>
        </w:rPr>
      </w:pPr>
      <w:r>
        <w:rPr>
          <w:lang w:val="en"/>
        </w:rPr>
        <w:t>Administer</w:t>
      </w:r>
      <w:r w:rsidR="00E2348C" w:rsidRPr="00E2348C">
        <w:rPr>
          <w:lang w:val="en"/>
        </w:rPr>
        <w:t xml:space="preserve"> fair and equitable policies and procedures to all students.</w:t>
      </w:r>
    </w:p>
    <w:p w14:paraId="07EEF466" w14:textId="3802FF5D" w:rsidR="00E2348C" w:rsidRPr="00E2348C" w:rsidRDefault="00E9225E" w:rsidP="00FE1D63">
      <w:pPr>
        <w:numPr>
          <w:ilvl w:val="0"/>
          <w:numId w:val="5"/>
        </w:numPr>
        <w:spacing w:after="0"/>
        <w:rPr>
          <w:lang w:val="en"/>
        </w:rPr>
      </w:pPr>
      <w:r>
        <w:rPr>
          <w:lang w:val="en"/>
        </w:rPr>
        <w:t>Provide</w:t>
      </w:r>
      <w:r w:rsidR="00E2348C" w:rsidRPr="00E2348C">
        <w:rPr>
          <w:lang w:val="en"/>
        </w:rPr>
        <w:t xml:space="preserve"> a schedule of activities that is clear and communicate changes by email and on Canvas.</w:t>
      </w:r>
    </w:p>
    <w:p w14:paraId="7522A912" w14:textId="0CBE6C1D" w:rsidR="00E2348C" w:rsidRPr="00E2348C" w:rsidRDefault="00E2348C" w:rsidP="00FE1D63">
      <w:pPr>
        <w:numPr>
          <w:ilvl w:val="0"/>
          <w:numId w:val="5"/>
        </w:numPr>
        <w:spacing w:after="0"/>
        <w:rPr>
          <w:lang w:val="en"/>
        </w:rPr>
      </w:pPr>
      <w:r w:rsidRPr="00E2348C">
        <w:rPr>
          <w:lang w:val="en"/>
        </w:rPr>
        <w:lastRenderedPageBreak/>
        <w:t xml:space="preserve">Grade assignments, quizzes, </w:t>
      </w:r>
      <w:r w:rsidR="00E9225E">
        <w:rPr>
          <w:lang w:val="en"/>
        </w:rPr>
        <w:t xml:space="preserve">projects </w:t>
      </w:r>
      <w:r w:rsidRPr="00E2348C">
        <w:rPr>
          <w:lang w:val="en"/>
        </w:rPr>
        <w:t xml:space="preserve">etc. within one week </w:t>
      </w:r>
      <w:r w:rsidR="00E9225E">
        <w:rPr>
          <w:lang w:val="en"/>
        </w:rPr>
        <w:t>of</w:t>
      </w:r>
      <w:r w:rsidRPr="00E2348C">
        <w:rPr>
          <w:lang w:val="en"/>
        </w:rPr>
        <w:t xml:space="preserve"> the stated due date.</w:t>
      </w:r>
    </w:p>
    <w:p w14:paraId="5558555F" w14:textId="77777777" w:rsidR="00E2348C" w:rsidRPr="00E2348C" w:rsidRDefault="00E2348C" w:rsidP="00FE1D63">
      <w:pPr>
        <w:numPr>
          <w:ilvl w:val="0"/>
          <w:numId w:val="5"/>
        </w:numPr>
        <w:spacing w:after="0"/>
        <w:rPr>
          <w:lang w:val="en"/>
        </w:rPr>
      </w:pPr>
      <w:r w:rsidRPr="00E2348C">
        <w:rPr>
          <w:lang w:val="en"/>
        </w:rPr>
        <w:t>Provide feedback and comments that are thorough and meaningful.</w:t>
      </w:r>
    </w:p>
    <w:p w14:paraId="38CFFDCC" w14:textId="77777777" w:rsidR="00E2348C" w:rsidRDefault="00E2348C" w:rsidP="00FE1D63">
      <w:pPr>
        <w:numPr>
          <w:ilvl w:val="0"/>
          <w:numId w:val="5"/>
        </w:numPr>
        <w:spacing w:after="0"/>
        <w:rPr>
          <w:lang w:val="en"/>
        </w:rPr>
      </w:pPr>
      <w:r w:rsidRPr="00E2348C">
        <w:rPr>
          <w:lang w:val="en"/>
        </w:rPr>
        <w:t>Be available for students during my office hours and by appointment and inform students of any changes to my office hours by email and Canvas.</w:t>
      </w:r>
    </w:p>
    <w:p w14:paraId="5816FF84" w14:textId="1D20A15A" w:rsidR="00E45D96" w:rsidRPr="00E2348C" w:rsidRDefault="00E45D96" w:rsidP="00FE1D63">
      <w:pPr>
        <w:numPr>
          <w:ilvl w:val="0"/>
          <w:numId w:val="5"/>
        </w:numPr>
        <w:spacing w:after="0"/>
        <w:rPr>
          <w:lang w:val="en"/>
        </w:rPr>
      </w:pPr>
      <w:r>
        <w:t>Support your growth as a learner and future professional in community health.</w:t>
      </w:r>
    </w:p>
    <w:p w14:paraId="25C06169" w14:textId="77777777" w:rsidR="00FE1D63" w:rsidRDefault="00FE1D63" w:rsidP="00FE1D63">
      <w:pPr>
        <w:rPr>
          <w:b/>
          <w:bCs/>
        </w:rPr>
      </w:pPr>
    </w:p>
    <w:p w14:paraId="2AE2DED5" w14:textId="3179B924" w:rsidR="00FE1D63" w:rsidRPr="000A5A66" w:rsidRDefault="00FE1D63" w:rsidP="000A5A66">
      <w:pPr>
        <w:pStyle w:val="Heading3"/>
        <w:rPr>
          <w:sz w:val="22"/>
          <w:szCs w:val="22"/>
        </w:rPr>
      </w:pPr>
      <w:bookmarkStart w:id="11" w:name="_Toc208488274"/>
      <w:r w:rsidRPr="000A5A66">
        <w:rPr>
          <w:sz w:val="22"/>
          <w:szCs w:val="22"/>
        </w:rPr>
        <w:t>Student Expectations</w:t>
      </w:r>
      <w:bookmarkEnd w:id="11"/>
    </w:p>
    <w:p w14:paraId="5C8B5F28" w14:textId="77777777" w:rsidR="00FE1D63" w:rsidRPr="00FE1D63" w:rsidRDefault="00FE1D63" w:rsidP="00FE1D63">
      <w:pPr>
        <w:spacing w:after="0"/>
      </w:pPr>
      <w:r w:rsidRPr="00FE1D63">
        <w:t>As a student in this course, you are preparing for professional roles in community health. Part of that preparation is practicing professionalism in how we learn and interact together. In this class, that means:</w:t>
      </w:r>
    </w:p>
    <w:p w14:paraId="69CE60D6" w14:textId="77777777" w:rsidR="00FE1D63" w:rsidRPr="00FE1D63" w:rsidRDefault="00FE1D63" w:rsidP="00FE1D63">
      <w:pPr>
        <w:numPr>
          <w:ilvl w:val="0"/>
          <w:numId w:val="21"/>
        </w:numPr>
        <w:spacing w:after="0"/>
      </w:pPr>
      <w:r w:rsidRPr="00FE1D63">
        <w:t>Engage actively: Complete assigned readings, tutorials, and activities; contribute to discussions; ask questions.</w:t>
      </w:r>
    </w:p>
    <w:p w14:paraId="2D65F3BF" w14:textId="77777777" w:rsidR="00FE1D63" w:rsidRPr="00FE1D63" w:rsidRDefault="00FE1D63" w:rsidP="00FE1D63">
      <w:pPr>
        <w:numPr>
          <w:ilvl w:val="0"/>
          <w:numId w:val="21"/>
        </w:numPr>
        <w:spacing w:after="0"/>
      </w:pPr>
      <w:r w:rsidRPr="00FE1D63">
        <w:t>Check and participate in Canvas: Log in at least three times per week to stay current with materials, deadlines, and conversations.</w:t>
      </w:r>
    </w:p>
    <w:p w14:paraId="3B449F7C" w14:textId="77777777" w:rsidR="00FE1D63" w:rsidRPr="00FE1D63" w:rsidRDefault="00FE1D63" w:rsidP="00FE1D63">
      <w:pPr>
        <w:numPr>
          <w:ilvl w:val="0"/>
          <w:numId w:val="21"/>
        </w:numPr>
        <w:spacing w:after="0"/>
      </w:pPr>
      <w:r w:rsidRPr="00FE1D63">
        <w:t>Communicate clearly and respectfully: Whether in writing, discussions, or email, use a professional and approachable tone. For email, include a greeting, reference to CHP 300, your question or request, and your name.</w:t>
      </w:r>
    </w:p>
    <w:p w14:paraId="52A71B42" w14:textId="77777777" w:rsidR="00FE1D63" w:rsidRPr="00FE1D63" w:rsidRDefault="00FE1D63" w:rsidP="00FE1D63">
      <w:pPr>
        <w:numPr>
          <w:ilvl w:val="0"/>
          <w:numId w:val="21"/>
        </w:numPr>
        <w:spacing w:after="0"/>
      </w:pPr>
      <w:r w:rsidRPr="00FE1D63">
        <w:t>Be reliable and organized: Keep track of deadlines, submit assignments on time, and follow through on group commitments.</w:t>
      </w:r>
    </w:p>
    <w:p w14:paraId="6FCD8A31" w14:textId="77777777" w:rsidR="00FE1D63" w:rsidRPr="00FE1D63" w:rsidRDefault="00FE1D63" w:rsidP="00FE1D63">
      <w:pPr>
        <w:numPr>
          <w:ilvl w:val="0"/>
          <w:numId w:val="21"/>
        </w:numPr>
        <w:spacing w:after="0"/>
      </w:pPr>
      <w:r w:rsidRPr="00FE1D63">
        <w:t>Respect and include others: Contribute to an inclusive space where all voices are valued.</w:t>
      </w:r>
    </w:p>
    <w:p w14:paraId="3B3B6420" w14:textId="77777777" w:rsidR="00FE1D63" w:rsidRPr="00FE1D63" w:rsidRDefault="00FE1D63" w:rsidP="00FE1D63">
      <w:pPr>
        <w:numPr>
          <w:ilvl w:val="0"/>
          <w:numId w:val="21"/>
        </w:numPr>
        <w:spacing w:after="0"/>
      </w:pPr>
      <w:r w:rsidRPr="00FE1D63">
        <w:t>Seek support when needed: Let me know if something comes up that affects your work. TCC has excellent supports like the Writing &amp; Tutoring Center, Access Services, and Counseling, which I encourage you to use.</w:t>
      </w:r>
    </w:p>
    <w:p w14:paraId="707CEFDF" w14:textId="77777777" w:rsidR="00FE1D63" w:rsidRPr="00FE1D63" w:rsidRDefault="00FE1D63" w:rsidP="00FE1D63">
      <w:pPr>
        <w:numPr>
          <w:ilvl w:val="0"/>
          <w:numId w:val="21"/>
        </w:numPr>
        <w:spacing w:after="0"/>
      </w:pPr>
      <w:r w:rsidRPr="00FE1D63">
        <w:t>Stay open to feedback: Be willing to learn from one another and use feedback to grow.</w:t>
      </w:r>
    </w:p>
    <w:p w14:paraId="040B2C76" w14:textId="77777777" w:rsidR="00FE1D63" w:rsidRDefault="00FE1D63" w:rsidP="00FE1D63">
      <w:pPr>
        <w:spacing w:after="0"/>
      </w:pPr>
      <w:r w:rsidRPr="00FE1D63">
        <w:t>We’ll also create our own community agreements in the first week to expand on these expectations and ensure our classroom reflects inclusion, respect, and belonging.</w:t>
      </w:r>
    </w:p>
    <w:p w14:paraId="1951E598" w14:textId="77777777" w:rsidR="00FE1D63" w:rsidRPr="00FE1D63" w:rsidRDefault="00FE1D63" w:rsidP="00FE1D63">
      <w:pPr>
        <w:spacing w:after="0"/>
      </w:pPr>
    </w:p>
    <w:p w14:paraId="0F02A68D" w14:textId="4788CB95" w:rsidR="00E2348C" w:rsidRPr="00E2348C" w:rsidRDefault="00E2348C" w:rsidP="00E2348C">
      <w:pPr>
        <w:rPr>
          <w:lang w:val="en"/>
        </w:rPr>
      </w:pPr>
      <w:r w:rsidRPr="00E2348C">
        <w:rPr>
          <w:lang w:val="en"/>
        </w:rPr>
        <w:t xml:space="preserve">If there is a concern with your behavior during this quarter, we will use the Student Code of Conduct to frame our discussion. For more information on TCC policies related to student behavior, please refer to the </w:t>
      </w:r>
      <w:hyperlink r:id="rId7" w:tgtFrame="_blank" w:history="1">
        <w:r w:rsidRPr="00E2348C">
          <w:rPr>
            <w:rStyle w:val="Hyperlink"/>
            <w:lang w:val="en"/>
          </w:rPr>
          <w:t>TCC Classroom Standards and Culture</w:t>
        </w:r>
        <w:r w:rsidR="005D2F2D">
          <w:rPr>
            <w:rStyle w:val="Hyperlink"/>
            <w:lang w:val="en"/>
          </w:rPr>
          <w:t xml:space="preserve"> (l</w:t>
        </w:r>
        <w:r w:rsidRPr="00E2348C">
          <w:rPr>
            <w:rStyle w:val="Hyperlink"/>
            <w:lang w:val="en"/>
          </w:rPr>
          <w:t>inks to an external site.</w:t>
        </w:r>
      </w:hyperlink>
      <w:r w:rsidR="005D2F2D">
        <w:t>)</w:t>
      </w:r>
      <w:r w:rsidRPr="00E2348C">
        <w:rPr>
          <w:lang w:val="en"/>
        </w:rPr>
        <w:t xml:space="preserve"> </w:t>
      </w:r>
    </w:p>
    <w:p w14:paraId="73BC2338" w14:textId="035C450C" w:rsidR="00E2348C" w:rsidRPr="002C66B1" w:rsidRDefault="00E2348C" w:rsidP="002C66B1">
      <w:pPr>
        <w:pStyle w:val="Heading1"/>
        <w:rPr>
          <w:rStyle w:val="IntenseReference"/>
        </w:rPr>
      </w:pPr>
      <w:bookmarkStart w:id="12" w:name="_Toc208488275"/>
      <w:r w:rsidRPr="002C66B1">
        <w:rPr>
          <w:rStyle w:val="IntenseReference"/>
        </w:rPr>
        <w:t>Recommended Study Habits</w:t>
      </w:r>
      <w:bookmarkEnd w:id="12"/>
    </w:p>
    <w:p w14:paraId="13A01DCC" w14:textId="77777777" w:rsidR="00E2348C" w:rsidRPr="00E2348C" w:rsidRDefault="00E2348C" w:rsidP="00E2348C">
      <w:pPr>
        <w:rPr>
          <w:lang w:val="en"/>
        </w:rPr>
      </w:pPr>
      <w:r w:rsidRPr="00E2348C">
        <w:rPr>
          <w:lang w:val="en"/>
        </w:rPr>
        <w:t>You can expect to devote an average of two hours outside of class to the subject matter (readings and preparation, as well as substantive assignments and participation exercises) for every 50 minutes in class (i.e. one class session). As this is a five-credit class, you can reasonably expect an average of 10 hours of reading/homework each week. Before each class, read the chapter sections that correspond to that class day. Formulate questions about the content that you cannot answer on your own. Come to class prepared to ask those questions and deepen your understanding of the content.</w:t>
      </w:r>
    </w:p>
    <w:p w14:paraId="57E8C104" w14:textId="77777777" w:rsidR="00BE1749" w:rsidRDefault="00BE1749" w:rsidP="00E2348C">
      <w:r w:rsidRPr="00BE1749">
        <w:t xml:space="preserve">The workload is designed to be balanced across the quarter, averaging about 10 hours per week outside of class. Some weeks may feel lighter than others — if that happens, it can be a great opportunity to review concepts, connect with classmates, or visit the Writing &amp; Tutoring Center or a Supplemental Instruction (SI) session. Many students find that they learn most deeply when they link course ideas to </w:t>
      </w:r>
      <w:r w:rsidRPr="00BE1749">
        <w:lastRenderedPageBreak/>
        <w:t>their own experiences, their communities, and other classes they’re taking. The more you practice making those connections, the more meaningful and lasting your learning will be.</w:t>
      </w:r>
    </w:p>
    <w:p w14:paraId="2897D263" w14:textId="496851ED" w:rsidR="00E2348C" w:rsidRPr="00E2348C" w:rsidRDefault="00E2348C" w:rsidP="002C66B1">
      <w:pPr>
        <w:pStyle w:val="Heading1"/>
        <w:rPr>
          <w:rStyle w:val="IntenseReference"/>
          <w:lang w:val="en"/>
        </w:rPr>
      </w:pPr>
      <w:bookmarkStart w:id="13" w:name="_Toc208488276"/>
      <w:r w:rsidRPr="00E2348C">
        <w:rPr>
          <w:rStyle w:val="IntenseReference"/>
          <w:lang w:val="en"/>
        </w:rPr>
        <w:t>Reasonable Accommodations for Religion/Conscience</w:t>
      </w:r>
      <w:bookmarkEnd w:id="13"/>
    </w:p>
    <w:p w14:paraId="636EF54F" w14:textId="77777777" w:rsidR="00E2348C" w:rsidRPr="00E2348C" w:rsidRDefault="00E2348C" w:rsidP="00E2348C">
      <w:pPr>
        <w:rPr>
          <w:lang w:val="en"/>
        </w:rPr>
      </w:pPr>
      <w:r w:rsidRPr="00E2348C">
        <w:rPr>
          <w:lang w:val="en"/>
        </w:rPr>
        <w:t xml:space="preserve">Students who will be absent from course activities due to reasons of faith or conscience may seek reasonable accommodations so that grades are not impacted. Such requests must be made within the first two weeks of the quarter and should follow the procedures listed in the </w:t>
      </w:r>
      <w:hyperlink r:id="rId8" w:tgtFrame="_blank" w:history="1">
        <w:r w:rsidRPr="00E2348C">
          <w:rPr>
            <w:rStyle w:val="Hyperlink"/>
            <w:lang w:val="en"/>
          </w:rPr>
          <w:t>Leave for Faith &amp; Conscience policy webpage</w:t>
        </w:r>
      </w:hyperlink>
      <w:r w:rsidRPr="00E2348C">
        <w:rPr>
          <w:lang w:val="en"/>
        </w:rPr>
        <w:t>.</w:t>
      </w:r>
    </w:p>
    <w:p w14:paraId="5A9C89EA" w14:textId="77777777" w:rsidR="00E2348C" w:rsidRPr="00196C70" w:rsidRDefault="00E2348C" w:rsidP="00E2348C">
      <w:pPr>
        <w:rPr>
          <w:highlight w:val="yellow"/>
          <w:lang w:val="en"/>
        </w:rPr>
      </w:pPr>
      <w:r w:rsidRPr="00E2348C">
        <w:rPr>
          <w:rStyle w:val="IntenseReference"/>
          <w:rFonts w:asciiTheme="majorHAnsi" w:eastAsiaTheme="majorEastAsia" w:hAnsiTheme="majorHAnsi" w:cstheme="majorBidi"/>
          <w:kern w:val="28"/>
          <w:sz w:val="28"/>
          <w:szCs w:val="40"/>
          <w:lang w:val="en"/>
        </w:rPr>
        <w:t>TCC Student Policies</w:t>
      </w:r>
      <w:r w:rsidRPr="00E2348C">
        <w:rPr>
          <w:rStyle w:val="IntenseReference"/>
          <w:rFonts w:asciiTheme="majorHAnsi" w:eastAsiaTheme="majorEastAsia" w:hAnsiTheme="majorHAnsi" w:cstheme="majorBidi"/>
          <w:b w:val="0"/>
          <w:bCs w:val="0"/>
          <w:kern w:val="28"/>
          <w:sz w:val="28"/>
          <w:szCs w:val="40"/>
          <w:lang w:val="en"/>
        </w:rPr>
        <w:br/>
      </w:r>
      <w:r w:rsidRPr="00196C70">
        <w:rPr>
          <w:highlight w:val="yellow"/>
          <w:lang w:val="en"/>
        </w:rPr>
        <w:t xml:space="preserve">TCC works hard to create a vibrant learning culture where you can succeed. Please refer to the </w:t>
      </w:r>
      <w:hyperlink r:id="rId9" w:tgtFrame="_blank" w:history="1">
        <w:r w:rsidRPr="00196C70">
          <w:rPr>
            <w:rStyle w:val="Hyperlink"/>
            <w:highlight w:val="yellow"/>
            <w:lang w:val="en"/>
          </w:rPr>
          <w:t>college-wide standards and policies</w:t>
        </w:r>
      </w:hyperlink>
      <w:r w:rsidRPr="00196C70">
        <w:rPr>
          <w:highlight w:val="yellow"/>
          <w:lang w:val="en"/>
        </w:rPr>
        <w:t xml:space="preserve"> that support this important work. Some of these policies include Religious Accommodations, Withdraw/Retakes, and the Student Code of Conduct.</w:t>
      </w:r>
    </w:p>
    <w:p w14:paraId="09CA768E" w14:textId="14901E9E" w:rsidR="00E2348C" w:rsidRPr="00196C70" w:rsidRDefault="00E2348C" w:rsidP="00E2348C">
      <w:pPr>
        <w:rPr>
          <w:highlight w:val="yellow"/>
        </w:rPr>
      </w:pPr>
      <w:r w:rsidRPr="00196C70">
        <w:rPr>
          <w:highlight w:val="yellow"/>
        </w:rPr>
        <w:t>﻿</w:t>
      </w:r>
      <w:r w:rsidRPr="00196C70">
        <w:rPr>
          <w:b/>
          <w:bCs/>
          <w:highlight w:val="yellow"/>
        </w:rPr>
        <w:t>Course Changes:</w:t>
      </w:r>
    </w:p>
    <w:p w14:paraId="3732CC2D" w14:textId="77777777" w:rsidR="00E2348C" w:rsidRPr="00196C70" w:rsidRDefault="00E2348C" w:rsidP="00E2348C">
      <w:pPr>
        <w:rPr>
          <w:highlight w:val="yellow"/>
        </w:rPr>
      </w:pPr>
      <w:r w:rsidRPr="00196C70">
        <w:rPr>
          <w:highlight w:val="yellow"/>
        </w:rPr>
        <w:t>Each course, class and quarter are and should be a dynamic and unique experience. As such changes, additions, or deletions of content, assignments, exams, assessments and materials are the prerogative of the instructor. Such changes or additions will be announced with sufficient time to allow the student ample time to adjust their own study schedule. These changes are considered as addenda to the course syllabus.</w:t>
      </w:r>
    </w:p>
    <w:p w14:paraId="32CFA2BB" w14:textId="77777777" w:rsidR="00E2348C" w:rsidRPr="00196C70" w:rsidRDefault="00E2348C" w:rsidP="00E2348C">
      <w:pPr>
        <w:rPr>
          <w:highlight w:val="yellow"/>
        </w:rPr>
      </w:pPr>
      <w:r w:rsidRPr="00196C70">
        <w:rPr>
          <w:b/>
          <w:bCs/>
          <w:highlight w:val="yellow"/>
        </w:rPr>
        <w:t xml:space="preserve">Research: </w:t>
      </w:r>
    </w:p>
    <w:p w14:paraId="62A2A53E" w14:textId="77777777" w:rsidR="00E2348C" w:rsidRPr="00196C70" w:rsidRDefault="00E2348C" w:rsidP="00E2348C">
      <w:pPr>
        <w:rPr>
          <w:highlight w:val="yellow"/>
        </w:rPr>
      </w:pPr>
      <w:r w:rsidRPr="00196C70">
        <w:rPr>
          <w:highlight w:val="yellow"/>
        </w:rPr>
        <w:t>You will be conducting basic research (secondary research) using legitimate sources and citing those sources in all of your work. Heather Gillanders, one of our TCC librarians will be available for helping you find the resources you need. I also suggest using the TCC library website, there are many search databases there in addition to google scholar. You may always ask me, or Heather(</w:t>
      </w:r>
      <w:hyperlink r:id="rId10" w:tgtFrame="_blank" w:history="1">
        <w:r w:rsidRPr="00196C70">
          <w:rPr>
            <w:rStyle w:val="Hyperlink"/>
            <w:highlight w:val="yellow"/>
          </w:rPr>
          <w:t>hgillanders@tacomacc.edu</w:t>
        </w:r>
      </w:hyperlink>
      <w:r w:rsidRPr="00196C70">
        <w:rPr>
          <w:highlight w:val="yellow"/>
        </w:rPr>
        <w:t>).</w:t>
      </w:r>
    </w:p>
    <w:p w14:paraId="14AA160A" w14:textId="77777777" w:rsidR="00E2348C" w:rsidRPr="00196C70" w:rsidRDefault="00E2348C" w:rsidP="00E2348C">
      <w:pPr>
        <w:rPr>
          <w:highlight w:val="yellow"/>
        </w:rPr>
      </w:pPr>
      <w:r w:rsidRPr="00196C70">
        <w:rPr>
          <w:b/>
          <w:bCs/>
          <w:highlight w:val="yellow"/>
        </w:rPr>
        <w:t xml:space="preserve">Citation: </w:t>
      </w:r>
    </w:p>
    <w:p w14:paraId="5C1C414B" w14:textId="77777777" w:rsidR="00E2348C" w:rsidRPr="00E2348C" w:rsidRDefault="00E2348C" w:rsidP="00E2348C">
      <w:r w:rsidRPr="00196C70">
        <w:rPr>
          <w:highlight w:val="yellow"/>
        </w:rPr>
        <w:t>You will have a brief training module on research and citations of your work by Heather Gillanders that you will find in CHP 320 Canvas page. This means giving credit to the author whose idea or words you are using to state your argument or build your evidence. It is important to use sources of information that can be verified by 2-3 different outlets (triangulation!). This makes sure you are not depending on false data.</w:t>
      </w:r>
    </w:p>
    <w:p w14:paraId="4301B4E9" w14:textId="098FFCE7" w:rsidR="00E2348C" w:rsidRPr="00242D7C" w:rsidRDefault="00E2348C" w:rsidP="00242D7C">
      <w:pPr>
        <w:pStyle w:val="Heading1"/>
        <w:rPr>
          <w:rStyle w:val="IntenseReference"/>
        </w:rPr>
      </w:pPr>
      <w:bookmarkStart w:id="14" w:name="_Toc208488277"/>
      <w:r w:rsidRPr="00242D7C">
        <w:rPr>
          <w:rStyle w:val="IntenseReference"/>
        </w:rPr>
        <w:t>General Information and Guidance for the use of Generative Artificial Intelligence (AI)</w:t>
      </w:r>
      <w:bookmarkEnd w:id="14"/>
      <w:r w:rsidRPr="00242D7C">
        <w:rPr>
          <w:rStyle w:val="IntenseReference"/>
        </w:rPr>
        <w:t xml:space="preserve"> </w:t>
      </w:r>
    </w:p>
    <w:p w14:paraId="3386203E" w14:textId="77777777" w:rsidR="00E2348C" w:rsidRPr="00E2348C" w:rsidRDefault="00E2348C" w:rsidP="00E2348C">
      <w:r w:rsidRPr="00E2348C">
        <w:t>Students should learn how to use AI text generators and other AI-based assistive resources (collectively, AI tools) to enhance rather than damage their developing abilities as writers, communicators, and thinkers.</w:t>
      </w:r>
    </w:p>
    <w:p w14:paraId="3B8FBCF2" w14:textId="77777777" w:rsidR="00E2348C" w:rsidRPr="00E2348C" w:rsidRDefault="00E2348C" w:rsidP="00E2348C">
      <w:r w:rsidRPr="00E2348C">
        <w:t xml:space="preserve">We acknowledge that technology, including generative AI, can play a supportive role in the learning and feedback process, and we are open to its application as long as you provide proper citations and </w:t>
      </w:r>
      <w:r w:rsidRPr="00E2348C">
        <w:lastRenderedPageBreak/>
        <w:t>acknowledge the assistance received from AI tools. The goal is to encourage you to explore various learning aids, including generative AI-powered tools, while still maintaining academic integrity.</w:t>
      </w:r>
    </w:p>
    <w:p w14:paraId="14506243" w14:textId="77777777" w:rsidR="00E2348C" w:rsidRPr="00E2348C" w:rsidRDefault="00E2348C" w:rsidP="00E2348C">
      <w:r w:rsidRPr="00E2348C">
        <w:t xml:space="preserve">If you choose to use generative AI as a learning aid, </w:t>
      </w:r>
      <w:r w:rsidRPr="00E2348C">
        <w:rPr>
          <w:b/>
          <w:bCs/>
        </w:rPr>
        <w:t>it is essential to disclose</w:t>
      </w:r>
      <w:r w:rsidRPr="00E2348C">
        <w:t xml:space="preserve"> its use on your assignments to maintain academic integrity. If you use generative AI, make sure to cite it. Your disclosure should share what program you used and how you used it. Properly citing the AI-generated content allows us to understand your process better and gives credit to the assistance received from these tools.</w:t>
      </w:r>
    </w:p>
    <w:p w14:paraId="6AD66FB7" w14:textId="77777777" w:rsidR="00E2348C" w:rsidRPr="00E2348C" w:rsidRDefault="00E2348C" w:rsidP="00E2348C">
      <w:r w:rsidRPr="00E2348C">
        <w:rPr>
          <w:b/>
          <w:bCs/>
        </w:rPr>
        <w:t>Students shall:</w:t>
      </w:r>
    </w:p>
    <w:p w14:paraId="3F88B558" w14:textId="77777777" w:rsidR="00E2348C" w:rsidRPr="00E2348C" w:rsidRDefault="00E2348C" w:rsidP="00E2348C">
      <w:pPr>
        <w:numPr>
          <w:ilvl w:val="0"/>
          <w:numId w:val="7"/>
        </w:numPr>
      </w:pPr>
      <w:r w:rsidRPr="00E2348C">
        <w:t>give credit to AI tools whenever used, even if only to generate ideas rather than usable text or illustrations.</w:t>
      </w:r>
    </w:p>
    <w:p w14:paraId="7AA1C02A" w14:textId="77777777" w:rsidR="00E2348C" w:rsidRPr="00E2348C" w:rsidRDefault="00E2348C" w:rsidP="00E2348C">
      <w:pPr>
        <w:numPr>
          <w:ilvl w:val="0"/>
          <w:numId w:val="7"/>
        </w:numPr>
      </w:pPr>
      <w:r w:rsidRPr="00E2348C">
        <w:t>add an appendix when using AI tools on assignments, showing:</w:t>
      </w:r>
    </w:p>
    <w:p w14:paraId="2A560B3D" w14:textId="77777777" w:rsidR="00E2348C" w:rsidRPr="00E2348C" w:rsidRDefault="00E2348C" w:rsidP="00E2348C">
      <w:pPr>
        <w:numPr>
          <w:ilvl w:val="1"/>
          <w:numId w:val="7"/>
        </w:numPr>
      </w:pPr>
      <w:r w:rsidRPr="00E2348C">
        <w:t>the entire exchange, highlighting the most relevant sections</w:t>
      </w:r>
    </w:p>
    <w:p w14:paraId="41F9DFED" w14:textId="77777777" w:rsidR="00E2348C" w:rsidRPr="00E2348C" w:rsidRDefault="00E2348C" w:rsidP="00E2348C">
      <w:pPr>
        <w:numPr>
          <w:ilvl w:val="1"/>
          <w:numId w:val="7"/>
        </w:numPr>
      </w:pPr>
      <w:r w:rsidRPr="00E2348C">
        <w:t>a description of which AI tools were used (e.g. ChatGPT, Gemini, DALL-E, etc.)</w:t>
      </w:r>
    </w:p>
    <w:p w14:paraId="2A106CDA" w14:textId="77777777" w:rsidR="00E2348C" w:rsidRPr="00E2348C" w:rsidRDefault="00E2348C" w:rsidP="00E2348C">
      <w:pPr>
        <w:numPr>
          <w:ilvl w:val="1"/>
          <w:numId w:val="7"/>
        </w:numPr>
      </w:pPr>
      <w:r w:rsidRPr="00E2348C">
        <w:t>an explanation of how the AI tools were used (e.g. to generate ideas, turns of phrase, elements of text, long stretches of text, lines of argument, pieces of evidence, maps of conceptual territory, illustrations of key concepts, etc.)</w:t>
      </w:r>
    </w:p>
    <w:p w14:paraId="532CB44C" w14:textId="77777777" w:rsidR="00E2348C" w:rsidRPr="00E2348C" w:rsidRDefault="00E2348C" w:rsidP="00E2348C">
      <w:pPr>
        <w:numPr>
          <w:ilvl w:val="1"/>
          <w:numId w:val="7"/>
        </w:numPr>
      </w:pPr>
      <w:r w:rsidRPr="00E2348C">
        <w:t>an account of why AI tools were used (e.g. to save time, to surmount writer’s block, to stimulate thinking, to handle mounting stress, to clarify prose, to translate text, to experiment for fun, etc.).</w:t>
      </w:r>
    </w:p>
    <w:p w14:paraId="750D9DED" w14:textId="77777777" w:rsidR="00E2348C" w:rsidRPr="00E2348C" w:rsidRDefault="00E2348C" w:rsidP="00E2348C">
      <w:pPr>
        <w:numPr>
          <w:ilvl w:val="0"/>
          <w:numId w:val="7"/>
        </w:numPr>
      </w:pPr>
      <w:r w:rsidRPr="00E2348C">
        <w:rPr>
          <w:b/>
          <w:bCs/>
        </w:rPr>
        <w:t>NOT</w:t>
      </w:r>
      <w:r w:rsidRPr="00E2348C">
        <w:t xml:space="preserve"> use AI tools during quizzes, tests, and exams, or assignments where explicitly excluded.</w:t>
      </w:r>
    </w:p>
    <w:p w14:paraId="26707088" w14:textId="77777777" w:rsidR="00E2348C" w:rsidRPr="00E2348C" w:rsidRDefault="00E2348C" w:rsidP="00E2348C">
      <w:pPr>
        <w:numPr>
          <w:ilvl w:val="0"/>
          <w:numId w:val="7"/>
        </w:numPr>
      </w:pPr>
      <w:r w:rsidRPr="00E2348C">
        <w:t>employ AI detection tools and originality checks prior to submission, ensuring that their submitted work is not mistakenly flagged.</w:t>
      </w:r>
    </w:p>
    <w:p w14:paraId="4299C661" w14:textId="77777777" w:rsidR="00E2348C" w:rsidRPr="00E2348C" w:rsidRDefault="00E2348C" w:rsidP="00E2348C">
      <w:pPr>
        <w:numPr>
          <w:ilvl w:val="0"/>
          <w:numId w:val="7"/>
        </w:numPr>
      </w:pPr>
      <w:r w:rsidRPr="00E2348C">
        <w:t>use AI tools wisely and intelligently, aiming to deepen understanding of subject matter and to support learning.</w:t>
      </w:r>
    </w:p>
    <w:p w14:paraId="205C6130" w14:textId="77777777" w:rsidR="00E2348C" w:rsidRPr="00E2348C" w:rsidRDefault="00E2348C" w:rsidP="00E2348C">
      <w:r w:rsidRPr="00E2348C">
        <w:t>This policy depends on goodwill, a sense of fairness, and honorable character. Some instructors may prefer stronger restrictions on the use of AI tools, and they are free to impose them so long as care is taken to maintain transparency and fairness in grading.</w:t>
      </w:r>
    </w:p>
    <w:p w14:paraId="13094223" w14:textId="77777777" w:rsidR="00E2348C" w:rsidRPr="00E2348C" w:rsidRDefault="00E2348C" w:rsidP="00E2348C">
      <w:r w:rsidRPr="00E2348C">
        <w:t xml:space="preserve">This policy may be revised in light of other policies and novel technological developments in AI tools. For more information, visit the </w:t>
      </w:r>
      <w:r w:rsidRPr="00E2348C">
        <w:rPr>
          <w:i/>
          <w:iCs/>
        </w:rPr>
        <w:t>TCC library page Generative AI - a student's guide.</w:t>
      </w:r>
    </w:p>
    <w:p w14:paraId="47DB1FEF" w14:textId="7BCA0BDC" w:rsidR="00BD4E56" w:rsidRDefault="00E2348C" w:rsidP="00E2348C">
      <w:pPr>
        <w:rPr>
          <w:rStyle w:val="IntenseReference"/>
        </w:rPr>
      </w:pPr>
      <w:r w:rsidRPr="00ED34A1">
        <w:rPr>
          <w:b/>
          <w:bCs/>
          <w:highlight w:val="cyan"/>
        </w:rPr>
        <w:t>Online course evaluation:</w:t>
      </w:r>
      <w:r w:rsidRPr="00ED34A1">
        <w:rPr>
          <w:highlight w:val="cyan"/>
        </w:rPr>
        <w:br/>
        <w:t>Please do not forget to fill the online evaluation during week 10 of the course. It is helpful to faculty and program designers to make this program the best it can be!</w:t>
      </w:r>
      <w:r w:rsidRPr="00E2348C">
        <w:br/>
      </w:r>
      <w:r w:rsidRPr="00E2348C">
        <w:br/>
      </w:r>
      <w:r w:rsidRPr="00E2348C">
        <w:rPr>
          <w:rStyle w:val="IntenseReference"/>
          <w:rFonts w:asciiTheme="majorHAnsi" w:eastAsiaTheme="majorEastAsia" w:hAnsiTheme="majorHAnsi" w:cstheme="majorBidi"/>
          <w:kern w:val="28"/>
          <w:sz w:val="28"/>
          <w:szCs w:val="40"/>
        </w:rPr>
        <w:t>Classroom Concerns/Disputes/Final Grade Appeal Process</w:t>
      </w:r>
    </w:p>
    <w:p w14:paraId="60D0790E" w14:textId="4E27774B" w:rsidR="00E2348C" w:rsidRPr="00E2348C" w:rsidRDefault="00E2348C" w:rsidP="00E2348C">
      <w:r w:rsidRPr="00E2348C">
        <w:t xml:space="preserve">If you have questions or concerns about this class, please talk to me about them. If we are unable to resolve your concerns, you may talk next with the </w:t>
      </w:r>
      <w:r w:rsidR="00366784">
        <w:t>Chair</w:t>
      </w:r>
      <w:r w:rsidRPr="00E2348C">
        <w:t xml:space="preserve">, </w:t>
      </w:r>
      <w:r w:rsidR="00366784">
        <w:t>Sarah Henley.</w:t>
      </w:r>
      <w:r w:rsidRPr="00E2348C">
        <w:t xml:space="preserve"> </w:t>
      </w:r>
      <w:r w:rsidR="00366784">
        <w:t>Sarah</w:t>
      </w:r>
      <w:r w:rsidRPr="00E2348C">
        <w:t xml:space="preserve"> can be contacted by </w:t>
      </w:r>
      <w:r w:rsidRPr="00E2348C">
        <w:lastRenderedPageBreak/>
        <w:t xml:space="preserve">emailing: </w:t>
      </w:r>
      <w:hyperlink r:id="rId11" w:history="1">
        <w:r w:rsidR="00366784" w:rsidRPr="00D101D0">
          <w:rPr>
            <w:rStyle w:val="Hyperlink"/>
          </w:rPr>
          <w:t>shenley@tacomacc.edu.</w:t>
        </w:r>
      </w:hyperlink>
      <w:r w:rsidRPr="00E2348C">
        <w:t xml:space="preserve"> If you think that your final grade has been given in error, please see the </w:t>
      </w:r>
      <w:hyperlink r:id="rId12" w:tgtFrame="_blank" w:history="1">
        <w:r w:rsidRPr="00E2348C">
          <w:rPr>
            <w:rStyle w:val="Hyperlink"/>
          </w:rPr>
          <w:t>final grade appeal process</w:t>
        </w:r>
      </w:hyperlink>
      <w:r w:rsidRPr="00E2348C">
        <w:t>.</w:t>
      </w:r>
    </w:p>
    <w:p w14:paraId="29C55E89" w14:textId="77777777" w:rsidR="00B56E86" w:rsidRPr="002C66B1" w:rsidRDefault="00E2348C" w:rsidP="002C66B1">
      <w:pPr>
        <w:pStyle w:val="Heading1"/>
        <w:rPr>
          <w:rStyle w:val="IntenseReference"/>
        </w:rPr>
      </w:pPr>
      <w:bookmarkStart w:id="15" w:name="_Toc208488278"/>
      <w:r w:rsidRPr="002C66B1">
        <w:rPr>
          <w:rStyle w:val="IntenseReference"/>
        </w:rPr>
        <w:t>Academic Dishonesty</w:t>
      </w:r>
      <w:bookmarkEnd w:id="15"/>
    </w:p>
    <w:p w14:paraId="60738862" w14:textId="6A93237D" w:rsidR="00E2348C" w:rsidRPr="00E2348C" w:rsidRDefault="00E2348C" w:rsidP="00E2348C">
      <w:pPr>
        <w:rPr>
          <w:b/>
          <w:bCs/>
          <w:smallCaps/>
          <w:color w:val="2F5496" w:themeColor="accent1" w:themeShade="BF"/>
          <w:spacing w:val="5"/>
        </w:rPr>
      </w:pPr>
      <w:r w:rsidRPr="00E2348C">
        <w:t xml:space="preserve">In this class, academic dishonesty will result in a failing grade (“E”) for the assignment or the quarter. Direct copying is prohibited, while incorrect citation and referencing will result in points taken off. I also reserve the right to remove any inappropriate posts on Canvas such as, but not limited to, profanity or plagiarism. In such a case, you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environment for all students”. The complete Administrative Procedure for Academic Dishonesty is available on the </w:t>
      </w:r>
      <w:hyperlink r:id="rId13" w:tgtFrame="_blank" w:history="1">
        <w:r w:rsidRPr="00E2348C">
          <w:rPr>
            <w:rStyle w:val="Hyperlink"/>
          </w:rPr>
          <w:t>TCC website</w:t>
        </w:r>
      </w:hyperlink>
      <w:r w:rsidRPr="00E2348C">
        <w:t>.</w:t>
      </w:r>
    </w:p>
    <w:p w14:paraId="3084AAA0" w14:textId="719DD9E6" w:rsidR="00E2348C" w:rsidRPr="00E2348C" w:rsidRDefault="00E2348C" w:rsidP="00E2348C">
      <w:pPr>
        <w:rPr>
          <w:rStyle w:val="IntenseReference"/>
          <w:rFonts w:asciiTheme="majorHAnsi" w:eastAsiaTheme="majorEastAsia" w:hAnsiTheme="majorHAnsi" w:cstheme="majorBidi"/>
          <w:kern w:val="28"/>
          <w:sz w:val="28"/>
          <w:szCs w:val="40"/>
        </w:rPr>
      </w:pPr>
      <w:r w:rsidRPr="00E2348C">
        <w:rPr>
          <w:rStyle w:val="IntenseReference"/>
          <w:rFonts w:asciiTheme="majorHAnsi" w:eastAsiaTheme="majorEastAsia" w:hAnsiTheme="majorHAnsi" w:cstheme="majorBidi"/>
          <w:kern w:val="28"/>
          <w:sz w:val="28"/>
          <w:szCs w:val="40"/>
        </w:rPr>
        <w:t xml:space="preserve">﻿Assessment Structure </w:t>
      </w:r>
      <w:r w:rsidR="00907DF8" w:rsidRPr="002C66B1">
        <w:rPr>
          <w:rStyle w:val="IntenseReference"/>
          <w:rFonts w:asciiTheme="majorHAnsi" w:eastAsiaTheme="majorEastAsia" w:hAnsiTheme="majorHAnsi" w:cstheme="majorBidi"/>
          <w:kern w:val="28"/>
          <w:sz w:val="28"/>
          <w:szCs w:val="40"/>
        </w:rPr>
        <w:t>and Grading</w:t>
      </w:r>
    </w:p>
    <w:p w14:paraId="6C9281BB" w14:textId="74744F73" w:rsidR="00E2348C" w:rsidRDefault="00E2348C" w:rsidP="00E2348C">
      <w:r w:rsidRPr="00E2348C">
        <w:t>The assessment structure for this course was created to assess your learning on the course learning outcomes. In this class, we will have the following graded items: assignments, quizzes, and group projects. Each of these assessments is intended to help you learn and progress toward our course learning outcomes. Table 1 shows the assessment type and weight of each category.</w:t>
      </w:r>
    </w:p>
    <w:p w14:paraId="0A516F9F" w14:textId="6F82040A" w:rsidR="000F2AC6" w:rsidRPr="00E2348C" w:rsidRDefault="000F2AC6" w:rsidP="00E2348C">
      <w:r>
        <w:t>Please note that any grade less than a C (69% or less) is considered failing in the CHP program, therefore, you will be required to retake the course</w:t>
      </w:r>
    </w:p>
    <w:p w14:paraId="0B1CF138" w14:textId="77777777" w:rsidR="008507D0" w:rsidRDefault="008507D0">
      <w:pPr>
        <w:rPr>
          <w:b/>
          <w:bCs/>
        </w:rPr>
      </w:pPr>
      <w:r>
        <w:rPr>
          <w:b/>
          <w:bCs/>
        </w:rPr>
        <w:br w:type="page"/>
      </w:r>
    </w:p>
    <w:p w14:paraId="4B87D952" w14:textId="35A4B768" w:rsidR="00E2348C" w:rsidRPr="00E2348C" w:rsidRDefault="00E2348C" w:rsidP="00E2348C">
      <w:r w:rsidRPr="00E2348C">
        <w:rPr>
          <w:b/>
          <w:bCs/>
        </w:rPr>
        <w:lastRenderedPageBreak/>
        <w:t>Table 1: Assessment 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5"/>
        <w:gridCol w:w="2880"/>
      </w:tblGrid>
      <w:tr w:rsidR="00E2348C" w:rsidRPr="00E2348C" w14:paraId="50399DEF" w14:textId="77777777" w:rsidTr="00732810">
        <w:trPr>
          <w:tblCellSpacing w:w="15" w:type="dxa"/>
        </w:trPr>
        <w:tc>
          <w:tcPr>
            <w:tcW w:w="3820" w:type="dxa"/>
            <w:vAlign w:val="center"/>
            <w:hideMark/>
          </w:tcPr>
          <w:p w14:paraId="2E4B8AAE" w14:textId="0239FEF3" w:rsidR="00E2348C" w:rsidRPr="00E2348C" w:rsidRDefault="00E2348C" w:rsidP="00E2348C">
            <w:pPr>
              <w:rPr>
                <w:lang w:val="en"/>
              </w:rPr>
            </w:pPr>
            <w:r w:rsidRPr="00E2348C">
              <w:t>﻿</w:t>
            </w:r>
            <w:r w:rsidRPr="00E2348C">
              <w:rPr>
                <w:b/>
                <w:bCs/>
                <w:lang w:val="en"/>
              </w:rPr>
              <w:t>Assessment Type</w:t>
            </w:r>
          </w:p>
        </w:tc>
        <w:tc>
          <w:tcPr>
            <w:tcW w:w="2835" w:type="dxa"/>
            <w:vAlign w:val="center"/>
            <w:hideMark/>
          </w:tcPr>
          <w:p w14:paraId="2313F8B9" w14:textId="77777777" w:rsidR="00E2348C" w:rsidRPr="00E2348C" w:rsidRDefault="00E2348C" w:rsidP="00E2348C">
            <w:pPr>
              <w:rPr>
                <w:lang w:val="en"/>
              </w:rPr>
            </w:pPr>
            <w:r w:rsidRPr="00E2348C">
              <w:rPr>
                <w:b/>
                <w:bCs/>
                <w:lang w:val="en"/>
              </w:rPr>
              <w:t>Assessment Weight</w:t>
            </w:r>
          </w:p>
        </w:tc>
      </w:tr>
      <w:tr w:rsidR="00E2348C" w:rsidRPr="00E2348C" w14:paraId="3EA81F5A" w14:textId="77777777" w:rsidTr="00732810">
        <w:trPr>
          <w:tblCellSpacing w:w="15" w:type="dxa"/>
        </w:trPr>
        <w:tc>
          <w:tcPr>
            <w:tcW w:w="3820" w:type="dxa"/>
            <w:vAlign w:val="center"/>
            <w:hideMark/>
          </w:tcPr>
          <w:p w14:paraId="4D6CB3AA" w14:textId="77777777" w:rsidR="00E2348C" w:rsidRPr="00E2348C" w:rsidRDefault="00E2348C" w:rsidP="00E2348C">
            <w:pPr>
              <w:rPr>
                <w:lang w:val="en"/>
              </w:rPr>
            </w:pPr>
            <w:r w:rsidRPr="00E2348C">
              <w:rPr>
                <w:lang w:val="en"/>
              </w:rPr>
              <w:t>Assignments</w:t>
            </w:r>
          </w:p>
        </w:tc>
        <w:tc>
          <w:tcPr>
            <w:tcW w:w="2835" w:type="dxa"/>
            <w:vAlign w:val="center"/>
            <w:hideMark/>
          </w:tcPr>
          <w:p w14:paraId="5E35526E" w14:textId="2FF6045F" w:rsidR="00E2348C" w:rsidRPr="00E2348C" w:rsidRDefault="00E2348C" w:rsidP="00E2348C">
            <w:pPr>
              <w:rPr>
                <w:lang w:val="en"/>
              </w:rPr>
            </w:pPr>
            <w:r w:rsidRPr="00E2348C">
              <w:rPr>
                <w:lang w:val="en"/>
              </w:rPr>
              <w:t>30%</w:t>
            </w:r>
            <w:r w:rsidR="00732810">
              <w:rPr>
                <w:lang w:val="en"/>
              </w:rPr>
              <w:t xml:space="preserve"> of your total grade</w:t>
            </w:r>
          </w:p>
        </w:tc>
      </w:tr>
      <w:tr w:rsidR="00E2348C" w:rsidRPr="00E2348C" w14:paraId="267B2164" w14:textId="77777777" w:rsidTr="00732810">
        <w:trPr>
          <w:tblCellSpacing w:w="15" w:type="dxa"/>
        </w:trPr>
        <w:tc>
          <w:tcPr>
            <w:tcW w:w="3820" w:type="dxa"/>
            <w:vAlign w:val="center"/>
            <w:hideMark/>
          </w:tcPr>
          <w:p w14:paraId="52C78DEB" w14:textId="77777777" w:rsidR="00E2348C" w:rsidRPr="00E2348C" w:rsidRDefault="00E2348C" w:rsidP="00E2348C">
            <w:pPr>
              <w:rPr>
                <w:lang w:val="en"/>
              </w:rPr>
            </w:pPr>
            <w:r w:rsidRPr="00E2348C">
              <w:rPr>
                <w:lang w:val="en"/>
              </w:rPr>
              <w:t>Discussion Boards/ In Real Life “IRL”</w:t>
            </w:r>
          </w:p>
        </w:tc>
        <w:tc>
          <w:tcPr>
            <w:tcW w:w="2835" w:type="dxa"/>
            <w:vAlign w:val="center"/>
            <w:hideMark/>
          </w:tcPr>
          <w:p w14:paraId="4C9C627D" w14:textId="446277D8" w:rsidR="00E2348C" w:rsidRPr="00E2348C" w:rsidRDefault="00E2348C" w:rsidP="00E2348C">
            <w:pPr>
              <w:rPr>
                <w:lang w:val="en"/>
              </w:rPr>
            </w:pPr>
            <w:r w:rsidRPr="00E2348C">
              <w:rPr>
                <w:lang w:val="en"/>
              </w:rPr>
              <w:t>20%</w:t>
            </w:r>
            <w:r w:rsidR="00732810">
              <w:rPr>
                <w:lang w:val="en"/>
              </w:rPr>
              <w:t xml:space="preserve"> of your total grade</w:t>
            </w:r>
          </w:p>
        </w:tc>
      </w:tr>
      <w:tr w:rsidR="00E2348C" w:rsidRPr="00E2348C" w14:paraId="63193256" w14:textId="77777777" w:rsidTr="00732810">
        <w:trPr>
          <w:tblCellSpacing w:w="15" w:type="dxa"/>
        </w:trPr>
        <w:tc>
          <w:tcPr>
            <w:tcW w:w="3820" w:type="dxa"/>
            <w:vAlign w:val="center"/>
            <w:hideMark/>
          </w:tcPr>
          <w:p w14:paraId="5CBCB3D8" w14:textId="77777777" w:rsidR="00E2348C" w:rsidRPr="00E2348C" w:rsidRDefault="00E2348C" w:rsidP="00E2348C">
            <w:pPr>
              <w:rPr>
                <w:lang w:val="en"/>
              </w:rPr>
            </w:pPr>
            <w:r w:rsidRPr="00E2348C">
              <w:rPr>
                <w:lang w:val="en"/>
              </w:rPr>
              <w:t>Module Exams</w:t>
            </w:r>
          </w:p>
        </w:tc>
        <w:tc>
          <w:tcPr>
            <w:tcW w:w="2835" w:type="dxa"/>
            <w:vAlign w:val="center"/>
            <w:hideMark/>
          </w:tcPr>
          <w:p w14:paraId="4E4C605A" w14:textId="54B84528" w:rsidR="00E2348C" w:rsidRPr="00E2348C" w:rsidRDefault="00E2348C" w:rsidP="00E2348C">
            <w:pPr>
              <w:rPr>
                <w:lang w:val="en"/>
              </w:rPr>
            </w:pPr>
            <w:r w:rsidRPr="00E2348C">
              <w:rPr>
                <w:lang w:val="en"/>
              </w:rPr>
              <w:t>50%</w:t>
            </w:r>
            <w:r w:rsidR="00732810">
              <w:rPr>
                <w:lang w:val="en"/>
              </w:rPr>
              <w:t xml:space="preserve"> of your total grade</w:t>
            </w:r>
          </w:p>
        </w:tc>
      </w:tr>
    </w:tbl>
    <w:p w14:paraId="58ACFEAF" w14:textId="77777777" w:rsidR="00E2348C" w:rsidRPr="00E2348C" w:rsidRDefault="00E2348C" w:rsidP="00E2348C">
      <w:r w:rsidRPr="00E2348C">
        <w:t>﻿</w:t>
      </w:r>
    </w:p>
    <w:p w14:paraId="1E7FC8EC" w14:textId="6C420C38" w:rsidR="00E2348C" w:rsidRPr="00E2348C" w:rsidRDefault="00907DF8" w:rsidP="00E2348C">
      <w:r>
        <w:rPr>
          <w:b/>
          <w:bCs/>
        </w:rPr>
        <w:t>T</w:t>
      </w:r>
      <w:r w:rsidR="00E2348C" w:rsidRPr="00E2348C">
        <w:rPr>
          <w:b/>
          <w:bCs/>
        </w:rPr>
        <w:t>able 2</w:t>
      </w:r>
      <w:r w:rsidR="0091246A">
        <w:rPr>
          <w:b/>
          <w:bCs/>
        </w:rPr>
        <w:t>:</w:t>
      </w:r>
      <w:r w:rsidR="00E2348C" w:rsidRPr="00E2348C">
        <w:rPr>
          <w:b/>
          <w:bCs/>
        </w:rPr>
        <w:t xml:space="preserve"> Grading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
        <w:gridCol w:w="1461"/>
      </w:tblGrid>
      <w:tr w:rsidR="00E2348C" w:rsidRPr="00E2348C" w14:paraId="0CE819F4" w14:textId="77777777" w:rsidTr="00907DF8">
        <w:trPr>
          <w:tblCellSpacing w:w="15" w:type="dxa"/>
        </w:trPr>
        <w:tc>
          <w:tcPr>
            <w:tcW w:w="0" w:type="auto"/>
            <w:vAlign w:val="center"/>
            <w:hideMark/>
          </w:tcPr>
          <w:p w14:paraId="237F6B14" w14:textId="663B0BA1" w:rsidR="00E2348C" w:rsidRPr="00E2348C" w:rsidRDefault="00E2348C" w:rsidP="00E2348C">
            <w:pPr>
              <w:rPr>
                <w:lang w:val="en"/>
              </w:rPr>
            </w:pPr>
            <w:r w:rsidRPr="00E2348C">
              <w:t>﻿</w:t>
            </w:r>
            <w:r w:rsidRPr="00E2348C">
              <w:rPr>
                <w:b/>
                <w:bCs/>
                <w:lang w:val="en"/>
              </w:rPr>
              <w:t>Grade</w:t>
            </w:r>
          </w:p>
        </w:tc>
        <w:tc>
          <w:tcPr>
            <w:tcW w:w="0" w:type="auto"/>
            <w:vAlign w:val="center"/>
            <w:hideMark/>
          </w:tcPr>
          <w:p w14:paraId="6A3BA2F9" w14:textId="77777777" w:rsidR="00E2348C" w:rsidRPr="00E2348C" w:rsidRDefault="00E2348C" w:rsidP="00E2348C">
            <w:pPr>
              <w:rPr>
                <w:lang w:val="en"/>
              </w:rPr>
            </w:pPr>
            <w:r w:rsidRPr="00E2348C">
              <w:rPr>
                <w:b/>
                <w:bCs/>
                <w:lang w:val="en"/>
              </w:rPr>
              <w:t>Percent</w:t>
            </w:r>
          </w:p>
        </w:tc>
      </w:tr>
      <w:tr w:rsidR="008507D0" w:rsidRPr="00E2348C" w14:paraId="2DDB3BAF" w14:textId="77777777" w:rsidTr="009D5C30">
        <w:trPr>
          <w:tblCellSpacing w:w="15" w:type="dxa"/>
        </w:trPr>
        <w:tc>
          <w:tcPr>
            <w:tcW w:w="0" w:type="auto"/>
            <w:hideMark/>
          </w:tcPr>
          <w:p w14:paraId="3F3863E8" w14:textId="1D738D9E" w:rsidR="008507D0" w:rsidRPr="00E2348C" w:rsidRDefault="008507D0" w:rsidP="008507D0">
            <w:pPr>
              <w:rPr>
                <w:lang w:val="en"/>
              </w:rPr>
            </w:pPr>
            <w:r>
              <w:t>A</w:t>
            </w:r>
          </w:p>
        </w:tc>
        <w:tc>
          <w:tcPr>
            <w:tcW w:w="0" w:type="auto"/>
            <w:hideMark/>
          </w:tcPr>
          <w:p w14:paraId="715D92F2" w14:textId="7FC8746C" w:rsidR="008507D0" w:rsidRPr="00E2348C" w:rsidRDefault="008507D0" w:rsidP="008507D0">
            <w:pPr>
              <w:rPr>
                <w:lang w:val="en"/>
              </w:rPr>
            </w:pPr>
            <w:r>
              <w:t>93–100%</w:t>
            </w:r>
          </w:p>
        </w:tc>
      </w:tr>
      <w:tr w:rsidR="008507D0" w:rsidRPr="00E2348C" w14:paraId="1E288A33" w14:textId="77777777" w:rsidTr="009D5C30">
        <w:trPr>
          <w:tblCellSpacing w:w="15" w:type="dxa"/>
        </w:trPr>
        <w:tc>
          <w:tcPr>
            <w:tcW w:w="0" w:type="auto"/>
            <w:hideMark/>
          </w:tcPr>
          <w:p w14:paraId="4E8D8675" w14:textId="27A1C278" w:rsidR="008507D0" w:rsidRPr="00E2348C" w:rsidRDefault="008507D0" w:rsidP="008507D0">
            <w:pPr>
              <w:rPr>
                <w:lang w:val="en"/>
              </w:rPr>
            </w:pPr>
            <w:r>
              <w:t>A-</w:t>
            </w:r>
          </w:p>
        </w:tc>
        <w:tc>
          <w:tcPr>
            <w:tcW w:w="0" w:type="auto"/>
            <w:hideMark/>
          </w:tcPr>
          <w:p w14:paraId="266C2733" w14:textId="5155450E" w:rsidR="008507D0" w:rsidRPr="00E2348C" w:rsidRDefault="008507D0" w:rsidP="008507D0">
            <w:pPr>
              <w:rPr>
                <w:lang w:val="en"/>
              </w:rPr>
            </w:pPr>
            <w:r>
              <w:t>90–92%</w:t>
            </w:r>
          </w:p>
        </w:tc>
      </w:tr>
      <w:tr w:rsidR="008507D0" w:rsidRPr="00E2348C" w14:paraId="55C1A616" w14:textId="77777777" w:rsidTr="009D5C30">
        <w:trPr>
          <w:tblCellSpacing w:w="15" w:type="dxa"/>
        </w:trPr>
        <w:tc>
          <w:tcPr>
            <w:tcW w:w="0" w:type="auto"/>
            <w:hideMark/>
          </w:tcPr>
          <w:p w14:paraId="144A829F" w14:textId="749933CF" w:rsidR="008507D0" w:rsidRPr="00E2348C" w:rsidRDefault="008507D0" w:rsidP="008507D0">
            <w:pPr>
              <w:rPr>
                <w:lang w:val="en"/>
              </w:rPr>
            </w:pPr>
            <w:r>
              <w:t>B+</w:t>
            </w:r>
          </w:p>
        </w:tc>
        <w:tc>
          <w:tcPr>
            <w:tcW w:w="0" w:type="auto"/>
            <w:hideMark/>
          </w:tcPr>
          <w:p w14:paraId="0981DB2B" w14:textId="3280EE84" w:rsidR="008507D0" w:rsidRPr="00E2348C" w:rsidRDefault="008507D0" w:rsidP="008507D0">
            <w:pPr>
              <w:rPr>
                <w:lang w:val="en"/>
              </w:rPr>
            </w:pPr>
            <w:r>
              <w:t>87–89%</w:t>
            </w:r>
          </w:p>
        </w:tc>
      </w:tr>
      <w:tr w:rsidR="008507D0" w:rsidRPr="00E2348C" w14:paraId="0B85B22D" w14:textId="77777777" w:rsidTr="009D5C30">
        <w:trPr>
          <w:tblCellSpacing w:w="15" w:type="dxa"/>
        </w:trPr>
        <w:tc>
          <w:tcPr>
            <w:tcW w:w="0" w:type="auto"/>
            <w:hideMark/>
          </w:tcPr>
          <w:p w14:paraId="010D6CF1" w14:textId="32B7E824" w:rsidR="008507D0" w:rsidRPr="00E2348C" w:rsidRDefault="008507D0" w:rsidP="008507D0">
            <w:pPr>
              <w:rPr>
                <w:lang w:val="en"/>
              </w:rPr>
            </w:pPr>
            <w:r>
              <w:t>B</w:t>
            </w:r>
          </w:p>
        </w:tc>
        <w:tc>
          <w:tcPr>
            <w:tcW w:w="0" w:type="auto"/>
            <w:hideMark/>
          </w:tcPr>
          <w:p w14:paraId="7B190FF2" w14:textId="548CAFBE" w:rsidR="008507D0" w:rsidRPr="00E2348C" w:rsidRDefault="008507D0" w:rsidP="008507D0">
            <w:pPr>
              <w:rPr>
                <w:lang w:val="en"/>
              </w:rPr>
            </w:pPr>
            <w:r>
              <w:t>83–86%</w:t>
            </w:r>
          </w:p>
        </w:tc>
      </w:tr>
      <w:tr w:rsidR="008507D0" w:rsidRPr="00E2348C" w14:paraId="4788AEDB" w14:textId="77777777" w:rsidTr="009D5C30">
        <w:trPr>
          <w:tblCellSpacing w:w="15" w:type="dxa"/>
        </w:trPr>
        <w:tc>
          <w:tcPr>
            <w:tcW w:w="0" w:type="auto"/>
            <w:hideMark/>
          </w:tcPr>
          <w:p w14:paraId="23111FB9" w14:textId="6EED9F76" w:rsidR="008507D0" w:rsidRPr="00E2348C" w:rsidRDefault="008507D0" w:rsidP="008507D0">
            <w:pPr>
              <w:rPr>
                <w:lang w:val="en"/>
              </w:rPr>
            </w:pPr>
            <w:r>
              <w:t>B-</w:t>
            </w:r>
          </w:p>
        </w:tc>
        <w:tc>
          <w:tcPr>
            <w:tcW w:w="0" w:type="auto"/>
            <w:hideMark/>
          </w:tcPr>
          <w:p w14:paraId="62FAB899" w14:textId="2658856F" w:rsidR="008507D0" w:rsidRPr="00E2348C" w:rsidRDefault="008507D0" w:rsidP="008507D0">
            <w:pPr>
              <w:rPr>
                <w:lang w:val="en"/>
              </w:rPr>
            </w:pPr>
            <w:r>
              <w:t>80–82%</w:t>
            </w:r>
          </w:p>
        </w:tc>
      </w:tr>
      <w:tr w:rsidR="008507D0" w:rsidRPr="00E2348C" w14:paraId="15D1427B" w14:textId="77777777" w:rsidTr="009D5C30">
        <w:trPr>
          <w:tblCellSpacing w:w="15" w:type="dxa"/>
        </w:trPr>
        <w:tc>
          <w:tcPr>
            <w:tcW w:w="0" w:type="auto"/>
            <w:hideMark/>
          </w:tcPr>
          <w:p w14:paraId="61A8E943" w14:textId="0510BF60" w:rsidR="008507D0" w:rsidRPr="00E2348C" w:rsidRDefault="008507D0" w:rsidP="008507D0">
            <w:pPr>
              <w:rPr>
                <w:lang w:val="en"/>
              </w:rPr>
            </w:pPr>
            <w:r>
              <w:t>C+</w:t>
            </w:r>
          </w:p>
        </w:tc>
        <w:tc>
          <w:tcPr>
            <w:tcW w:w="0" w:type="auto"/>
            <w:hideMark/>
          </w:tcPr>
          <w:p w14:paraId="2809AA26" w14:textId="50642E9E" w:rsidR="008507D0" w:rsidRPr="00E2348C" w:rsidRDefault="008507D0" w:rsidP="008507D0">
            <w:pPr>
              <w:rPr>
                <w:lang w:val="en"/>
              </w:rPr>
            </w:pPr>
            <w:r>
              <w:t>77–79%</w:t>
            </w:r>
          </w:p>
        </w:tc>
      </w:tr>
      <w:tr w:rsidR="008507D0" w:rsidRPr="00E2348C" w14:paraId="70478BF7" w14:textId="77777777" w:rsidTr="009D5C30">
        <w:trPr>
          <w:tblCellSpacing w:w="15" w:type="dxa"/>
        </w:trPr>
        <w:tc>
          <w:tcPr>
            <w:tcW w:w="0" w:type="auto"/>
          </w:tcPr>
          <w:p w14:paraId="0C11CFF7" w14:textId="03D16664" w:rsidR="008507D0" w:rsidRDefault="008507D0" w:rsidP="008507D0">
            <w:r>
              <w:t>C</w:t>
            </w:r>
          </w:p>
        </w:tc>
        <w:tc>
          <w:tcPr>
            <w:tcW w:w="0" w:type="auto"/>
          </w:tcPr>
          <w:p w14:paraId="2263F8AB" w14:textId="1351ADEC" w:rsidR="008507D0" w:rsidRDefault="008507D0" w:rsidP="008507D0">
            <w:r>
              <w:t>73–76%</w:t>
            </w:r>
          </w:p>
        </w:tc>
      </w:tr>
      <w:tr w:rsidR="008507D0" w:rsidRPr="00E2348C" w14:paraId="22C08CA1" w14:textId="77777777" w:rsidTr="009D5C30">
        <w:trPr>
          <w:tblCellSpacing w:w="15" w:type="dxa"/>
        </w:trPr>
        <w:tc>
          <w:tcPr>
            <w:tcW w:w="0" w:type="auto"/>
          </w:tcPr>
          <w:p w14:paraId="70A675A2" w14:textId="4FDFB07D" w:rsidR="008507D0" w:rsidRDefault="008507D0" w:rsidP="008507D0">
            <w:r>
              <w:t>C-</w:t>
            </w:r>
          </w:p>
        </w:tc>
        <w:tc>
          <w:tcPr>
            <w:tcW w:w="0" w:type="auto"/>
          </w:tcPr>
          <w:p w14:paraId="3CFBCBA7" w14:textId="5382877F" w:rsidR="008507D0" w:rsidRDefault="008507D0" w:rsidP="008507D0">
            <w:r>
              <w:t>70–72%</w:t>
            </w:r>
          </w:p>
        </w:tc>
      </w:tr>
      <w:tr w:rsidR="00031B00" w:rsidRPr="00E2348C" w14:paraId="2655B25B" w14:textId="77777777" w:rsidTr="009D5C30">
        <w:trPr>
          <w:tblCellSpacing w:w="15" w:type="dxa"/>
        </w:trPr>
        <w:tc>
          <w:tcPr>
            <w:tcW w:w="0" w:type="auto"/>
          </w:tcPr>
          <w:p w14:paraId="69242114" w14:textId="40A8204E" w:rsidR="00031B00" w:rsidRDefault="00031B00" w:rsidP="008507D0">
            <w:r>
              <w:t>D</w:t>
            </w:r>
          </w:p>
        </w:tc>
        <w:tc>
          <w:tcPr>
            <w:tcW w:w="0" w:type="auto"/>
          </w:tcPr>
          <w:p w14:paraId="2A15EDEF" w14:textId="52259925" w:rsidR="00031B00" w:rsidRDefault="00031B00" w:rsidP="008507D0">
            <w:r>
              <w:t>60-69%*</w:t>
            </w:r>
          </w:p>
        </w:tc>
      </w:tr>
      <w:tr w:rsidR="00031B00" w:rsidRPr="00E2348C" w14:paraId="50B2C819" w14:textId="77777777" w:rsidTr="009D5C30">
        <w:trPr>
          <w:tblCellSpacing w:w="15" w:type="dxa"/>
        </w:trPr>
        <w:tc>
          <w:tcPr>
            <w:tcW w:w="0" w:type="auto"/>
          </w:tcPr>
          <w:p w14:paraId="1C87F198" w14:textId="75B34F87" w:rsidR="00031B00" w:rsidRDefault="00031B00" w:rsidP="008507D0">
            <w:r>
              <w:t>F</w:t>
            </w:r>
          </w:p>
        </w:tc>
        <w:tc>
          <w:tcPr>
            <w:tcW w:w="0" w:type="auto"/>
          </w:tcPr>
          <w:p w14:paraId="264C1AF4" w14:textId="47C79023" w:rsidR="00031B00" w:rsidRDefault="00031B00" w:rsidP="008507D0">
            <w:r>
              <w:t xml:space="preserve">59% and below </w:t>
            </w:r>
          </w:p>
        </w:tc>
      </w:tr>
    </w:tbl>
    <w:p w14:paraId="3C0E2A31" w14:textId="6F12F5DB" w:rsidR="00031B00" w:rsidRDefault="00031B00" w:rsidP="00E2348C">
      <w:pPr>
        <w:rPr>
          <w:b/>
          <w:bCs/>
          <w:i/>
          <w:iCs/>
        </w:rPr>
      </w:pPr>
      <w:r>
        <w:rPr>
          <w:b/>
          <w:bCs/>
          <w:i/>
          <w:iCs/>
        </w:rPr>
        <w:t>*</w:t>
      </w:r>
      <w:r w:rsidR="00E03E8D" w:rsidRPr="00E03E8D">
        <w:t xml:space="preserve"> </w:t>
      </w:r>
      <w:r w:rsidR="00E03E8D">
        <w:t>Please note that any grade less than a C (69% or less) is considered failing in the CHP program, therefore, you will be required to retake the course.</w:t>
      </w:r>
    </w:p>
    <w:p w14:paraId="121BE8B1" w14:textId="77777777" w:rsidR="00E2348C" w:rsidRPr="00E2348C" w:rsidRDefault="00E2348C" w:rsidP="00E2348C">
      <w:r w:rsidRPr="00E2348C">
        <w:t xml:space="preserve">The deadline for quizzes is 11:59 pm on the assigned due date listed in the course schedule. Missed quizzes will have a zero (0) in the gradebook unless previously discussed with me </w:t>
      </w:r>
      <w:r w:rsidRPr="00E2348C">
        <w:rPr>
          <w:b/>
          <w:bCs/>
        </w:rPr>
        <w:t>prior</w:t>
      </w:r>
      <w:r w:rsidRPr="00E2348C">
        <w:t xml:space="preserve"> to the due date (See Late Work).</w:t>
      </w:r>
    </w:p>
    <w:p w14:paraId="53BA7650" w14:textId="77777777" w:rsidR="00E2348C" w:rsidRPr="00E2348C" w:rsidRDefault="00E2348C" w:rsidP="00E2348C">
      <w:r w:rsidRPr="00E2348C">
        <w:t>Grades will be posted to Canvas as soon as assignments are graded, usually within two business days. If you think there has been an error, see me as soon as possible to have it corrected. If you need assistance accessing your Canvas account, please ask for help at the Information Commons in Building 16 or review the Canvas module in our Canvas course.</w:t>
      </w:r>
    </w:p>
    <w:p w14:paraId="009E4D78" w14:textId="124B3A36" w:rsidR="00E2348C" w:rsidRPr="00E2348C" w:rsidRDefault="00E2348C" w:rsidP="00E2348C">
      <w:r w:rsidRPr="00E2348C">
        <w:t>﻿</w:t>
      </w:r>
      <w:r w:rsidRPr="00E2348C">
        <w:rPr>
          <w:b/>
          <w:bCs/>
        </w:rPr>
        <w:t xml:space="preserve">Late Work </w:t>
      </w:r>
    </w:p>
    <w:p w14:paraId="540E9BB5" w14:textId="0D59F9CE" w:rsidR="00E2348C" w:rsidRPr="00E2348C" w:rsidRDefault="00124BAC" w:rsidP="00E2348C">
      <w:r>
        <w:lastRenderedPageBreak/>
        <w:t xml:space="preserve">If you anticipate that you will not be able to submit an assignment on time, I encourage you to reach out to me </w:t>
      </w:r>
      <w:r w:rsidRPr="00907DF8">
        <w:rPr>
          <w:b/>
          <w:bCs/>
        </w:rPr>
        <w:t>prior</w:t>
      </w:r>
      <w:r>
        <w:t xml:space="preserve"> to the </w:t>
      </w:r>
      <w:r w:rsidR="00E2348C" w:rsidRPr="00E2348C">
        <w:t xml:space="preserve">date the assignment is due. This </w:t>
      </w:r>
      <w:r>
        <w:t xml:space="preserve">will allow us to discuss and develop a plan. </w:t>
      </w:r>
    </w:p>
    <w:p w14:paraId="4F78418D" w14:textId="4F79D45E" w:rsidR="00E2348C" w:rsidRPr="00E2348C" w:rsidRDefault="00E2348C" w:rsidP="00E2348C">
      <w:r w:rsidRPr="00E2348C">
        <w:rPr>
          <w:b/>
          <w:bCs/>
        </w:rPr>
        <w:t>Penalties for late work:</w:t>
      </w:r>
    </w:p>
    <w:tbl>
      <w:tblPr>
        <w:tblStyle w:val="TableGrid"/>
        <w:tblW w:w="0" w:type="auto"/>
        <w:tblInd w:w="720" w:type="dxa"/>
        <w:tblLook w:val="04A0" w:firstRow="1" w:lastRow="0" w:firstColumn="1" w:lastColumn="0" w:noHBand="0" w:noVBand="1"/>
      </w:tblPr>
      <w:tblGrid>
        <w:gridCol w:w="4326"/>
        <w:gridCol w:w="4304"/>
      </w:tblGrid>
      <w:tr w:rsidR="009B5890" w14:paraId="2201CFF8" w14:textId="77777777" w:rsidTr="009B5890">
        <w:tc>
          <w:tcPr>
            <w:tcW w:w="4675" w:type="dxa"/>
          </w:tcPr>
          <w:p w14:paraId="64CB26AA" w14:textId="573DDC14" w:rsidR="009B5890" w:rsidRPr="009B5890" w:rsidRDefault="009B5890" w:rsidP="009B5890">
            <w:r w:rsidRPr="00E2348C">
              <w:rPr>
                <w:b/>
                <w:bCs/>
              </w:rPr>
              <w:t>Assignments Submitted 1 – 3 Days Late</w:t>
            </w:r>
          </w:p>
        </w:tc>
        <w:tc>
          <w:tcPr>
            <w:tcW w:w="4675" w:type="dxa"/>
          </w:tcPr>
          <w:p w14:paraId="609728B7" w14:textId="39A035A2" w:rsidR="009B5890" w:rsidRPr="009B5890" w:rsidRDefault="009B5890" w:rsidP="009B5890">
            <w:r w:rsidRPr="00E2348C">
              <w:t>50% of the earned score will be assessed</w:t>
            </w:r>
            <w:r>
              <w:t>. You will also receive</w:t>
            </w:r>
            <w:r w:rsidRPr="00E2348C">
              <w:t xml:space="preserve"> less feedback and comments</w:t>
            </w:r>
            <w:r>
              <w:t xml:space="preserve"> than if it were submitted on time.</w:t>
            </w:r>
          </w:p>
        </w:tc>
      </w:tr>
      <w:tr w:rsidR="009B5890" w14:paraId="4579DA04" w14:textId="77777777" w:rsidTr="009B5890">
        <w:tc>
          <w:tcPr>
            <w:tcW w:w="4675" w:type="dxa"/>
          </w:tcPr>
          <w:p w14:paraId="03DCD47B" w14:textId="77777777" w:rsidR="009B5890" w:rsidRPr="00E2348C" w:rsidRDefault="009B5890" w:rsidP="009B5890">
            <w:r w:rsidRPr="00E2348C">
              <w:rPr>
                <w:b/>
                <w:bCs/>
              </w:rPr>
              <w:t>Assignments Submitted 4 + Days Late</w:t>
            </w:r>
          </w:p>
          <w:p w14:paraId="07D7C517" w14:textId="77777777" w:rsidR="009B5890" w:rsidRPr="00E2348C" w:rsidRDefault="009B5890" w:rsidP="009B5890">
            <w:pPr>
              <w:rPr>
                <w:b/>
                <w:bCs/>
              </w:rPr>
            </w:pPr>
          </w:p>
        </w:tc>
        <w:tc>
          <w:tcPr>
            <w:tcW w:w="4675" w:type="dxa"/>
          </w:tcPr>
          <w:p w14:paraId="7BB0B76D" w14:textId="18BE91B7" w:rsidR="009B5890" w:rsidRPr="00E2348C" w:rsidRDefault="009B5890" w:rsidP="009B5890">
            <w:r w:rsidRPr="00E2348C">
              <w:t>Score of a zero will be assessed.</w:t>
            </w:r>
            <w:r>
              <w:t xml:space="preserve"> You will receive n</w:t>
            </w:r>
            <w:r w:rsidRPr="00E2348C">
              <w:t>o instructor feedback or comment</w:t>
            </w:r>
            <w:r>
              <w:t>s</w:t>
            </w:r>
          </w:p>
        </w:tc>
      </w:tr>
    </w:tbl>
    <w:p w14:paraId="523EB9CA" w14:textId="77777777" w:rsidR="009B5890" w:rsidRDefault="009B5890" w:rsidP="009B5890">
      <w:pPr>
        <w:spacing w:after="0"/>
        <w:ind w:left="720"/>
      </w:pPr>
    </w:p>
    <w:p w14:paraId="14050D42" w14:textId="30DD7BE2" w:rsidR="00E2348C" w:rsidRPr="00E2348C" w:rsidRDefault="00E2348C" w:rsidP="00366784">
      <w:pPr>
        <w:numPr>
          <w:ilvl w:val="0"/>
          <w:numId w:val="10"/>
        </w:numPr>
        <w:spacing w:after="0"/>
      </w:pPr>
      <w:r w:rsidRPr="00E2348C">
        <w:t>All work should be uploaded as PDFs or .doc(x)</w:t>
      </w:r>
      <w:r w:rsidR="00963F70">
        <w:t xml:space="preserve"> on the Canvas course website</w:t>
      </w:r>
      <w:r w:rsidRPr="00E2348C">
        <w:t xml:space="preserve">. Please be aware that Canvas closes assignments at the time they are due. </w:t>
      </w:r>
    </w:p>
    <w:p w14:paraId="750AA441" w14:textId="2D152865" w:rsidR="00E2348C" w:rsidRPr="00E2348C" w:rsidRDefault="00E2348C" w:rsidP="003602B8">
      <w:pPr>
        <w:numPr>
          <w:ilvl w:val="0"/>
          <w:numId w:val="10"/>
        </w:numPr>
        <w:spacing w:after="0"/>
      </w:pPr>
      <w:r w:rsidRPr="009B5890">
        <w:rPr>
          <w:b/>
          <w:bCs/>
        </w:rPr>
        <w:t>DO NOT WAIT</w:t>
      </w:r>
      <w:r w:rsidRPr="00E2348C">
        <w:t xml:space="preserve"> until the last minute to upload your assignment or the assignment may be closed. It is your responsibility that you upload the correct document by the due date/time. Check to make sure you have uploaded the correct document.</w:t>
      </w:r>
      <w:r w:rsidR="009B5890">
        <w:t xml:space="preserve"> </w:t>
      </w:r>
      <w:r w:rsidRPr="00E2348C">
        <w:t>Submit early to avoid being stressed about this!</w:t>
      </w:r>
    </w:p>
    <w:p w14:paraId="42BECF4F" w14:textId="011F83D2" w:rsidR="00E2348C" w:rsidRPr="00E2348C" w:rsidRDefault="00E2348C" w:rsidP="00366784">
      <w:pPr>
        <w:numPr>
          <w:ilvl w:val="0"/>
          <w:numId w:val="10"/>
        </w:numPr>
        <w:spacing w:after="0"/>
      </w:pPr>
      <w:r w:rsidRPr="00E2348C">
        <w:t>It is your responsibility that you upload the correct document by the due date/time.</w:t>
      </w:r>
    </w:p>
    <w:p w14:paraId="2BCF04E1" w14:textId="77777777" w:rsidR="00907DF8" w:rsidRDefault="00E2348C" w:rsidP="00E2348C">
      <w:r w:rsidRPr="00E2348C">
        <w:t>﻿</w:t>
      </w:r>
    </w:p>
    <w:p w14:paraId="1C486DFC" w14:textId="77777777" w:rsidR="00907DF8" w:rsidRDefault="00907DF8">
      <w:r>
        <w:br w:type="page"/>
      </w:r>
    </w:p>
    <w:p w14:paraId="4A3E3B87" w14:textId="3FFB0700" w:rsidR="00E2348C" w:rsidRPr="00E2348C" w:rsidRDefault="00E2348C" w:rsidP="002C66B1">
      <w:pPr>
        <w:pStyle w:val="Heading1"/>
        <w:rPr>
          <w:rStyle w:val="IntenseReference"/>
        </w:rPr>
      </w:pPr>
      <w:bookmarkStart w:id="16" w:name="_Toc208488279"/>
      <w:r w:rsidRPr="00E2348C">
        <w:rPr>
          <w:rStyle w:val="IntenseReference"/>
        </w:rPr>
        <w:lastRenderedPageBreak/>
        <w:t>Student Resources</w:t>
      </w:r>
      <w:bookmarkEnd w:id="16"/>
    </w:p>
    <w:p w14:paraId="507E86F4" w14:textId="77777777" w:rsidR="00E2348C" w:rsidRPr="00E2348C" w:rsidRDefault="00E2348C" w:rsidP="00E2348C">
      <w:r w:rsidRPr="00E2348C">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14" w:tgtFrame="_blank" w:history="1">
        <w:r w:rsidRPr="00E2348C">
          <w:rPr>
            <w:rStyle w:val="Hyperlink"/>
          </w:rPr>
          <w:t>Student Resources</w:t>
        </w:r>
      </w:hyperlink>
      <w:r w:rsidRPr="00E2348C">
        <w:t xml:space="preserve"> course to learn about some of these excellent resources.</w:t>
      </w:r>
    </w:p>
    <w:p w14:paraId="210C2179" w14:textId="17A64217" w:rsidR="00E2348C" w:rsidRPr="00E2348C" w:rsidRDefault="00E2348C" w:rsidP="002C66B1">
      <w:pPr>
        <w:pStyle w:val="Heading1"/>
        <w:rPr>
          <w:rStyle w:val="IntenseReference"/>
        </w:rPr>
      </w:pPr>
      <w:bookmarkStart w:id="17" w:name="_Toc208488280"/>
      <w:r w:rsidRPr="00E2348C">
        <w:rPr>
          <w:rStyle w:val="IntenseReference"/>
        </w:rPr>
        <w:t>Access and Accommodations</w:t>
      </w:r>
      <w:bookmarkEnd w:id="17"/>
    </w:p>
    <w:p w14:paraId="696CE8D6" w14:textId="6B968890" w:rsidR="00E2348C" w:rsidRPr="00E2348C" w:rsidRDefault="00E2348C" w:rsidP="00E2348C">
      <w:r w:rsidRPr="00E2348C">
        <w:t xml:space="preserve">Your access </w:t>
      </w:r>
      <w:r w:rsidR="00A00C90" w:rsidRPr="00E2348C">
        <w:t>to</w:t>
      </w:r>
      <w:r w:rsidRPr="00E2348C">
        <w:t xml:space="preserve">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w:t>
      </w:r>
      <w:r w:rsidR="00E953BD">
        <w:t xml:space="preserve"> </w:t>
      </w:r>
    </w:p>
    <w:p w14:paraId="122D3755" w14:textId="77777777" w:rsidR="00E2348C" w:rsidRPr="00E2348C" w:rsidRDefault="00E2348C" w:rsidP="00E2348C">
      <w:r w:rsidRPr="00E2348C">
        <w:t xml:space="preserve">If you have a disability or health condition that may benefit from accommodations to ensure access and support success in this course—and have </w:t>
      </w:r>
      <w:r w:rsidRPr="00E2348C">
        <w:rPr>
          <w:i/>
          <w:iCs/>
        </w:rPr>
        <w:t>not yet</w:t>
      </w:r>
      <w:r w:rsidRPr="00E2348C">
        <w:t xml:space="preserve"> established services, please contact Access Services at (253) 460-4437 or </w:t>
      </w:r>
      <w:hyperlink r:id="rId15" w:tgtFrame="_blank" w:history="1">
        <w:r w:rsidRPr="00E2348C">
          <w:rPr>
            <w:rStyle w:val="Hyperlink"/>
          </w:rPr>
          <w:t>access@tacomacc.edu</w:t>
        </w:r>
      </w:hyperlink>
      <w:r w:rsidRPr="00E2348C">
        <w:t>.</w:t>
      </w:r>
    </w:p>
    <w:p w14:paraId="6BB06655" w14:textId="77777777" w:rsidR="00E2348C" w:rsidRPr="00E2348C" w:rsidRDefault="00E2348C" w:rsidP="00E2348C">
      <w:r w:rsidRPr="00E2348C">
        <w:t>Access Services offers resources and coordinates reasonable accommodations for students with disabilities and/or temporary health conditions. Services are established through an interactive process that begins with an intake appointment. Access Services is located in Building 7.</w:t>
      </w:r>
    </w:p>
    <w:p w14:paraId="6952BC65" w14:textId="7261BD44" w:rsidR="00E2348C" w:rsidRPr="00E2348C" w:rsidRDefault="00E2348C" w:rsidP="002C66B1">
      <w:pPr>
        <w:pStyle w:val="Heading1"/>
        <w:rPr>
          <w:rStyle w:val="IntenseReference"/>
        </w:rPr>
      </w:pPr>
      <w:bookmarkStart w:id="18" w:name="_Toc208488281"/>
      <w:r w:rsidRPr="00E2348C">
        <w:rPr>
          <w:rStyle w:val="IntenseReference"/>
        </w:rPr>
        <w:t>Safety</w:t>
      </w:r>
      <w:bookmarkEnd w:id="18"/>
    </w:p>
    <w:p w14:paraId="26124FBA" w14:textId="77777777" w:rsidR="00E2348C" w:rsidRPr="00E2348C" w:rsidRDefault="00E2348C" w:rsidP="00E2348C">
      <w:r w:rsidRPr="00E2348C">
        <w:t xml:space="preserve">We care about the safety of our campus and community and all of us are needed in order to create a safe and secure learning environment. Please review the full list of safety resources available to you, which are listed on our </w:t>
      </w:r>
      <w:hyperlink r:id="rId16" w:tgtFrame="_blank" w:history="1">
        <w:r w:rsidRPr="00E2348C">
          <w:rPr>
            <w:rStyle w:val="Hyperlink"/>
          </w:rPr>
          <w:t>TCC Ready website</w:t>
        </w:r>
      </w:hyperlink>
      <w:r w:rsidRPr="00E2348C">
        <w:t xml:space="preserve"> Additionally, please watch </w:t>
      </w:r>
      <w:hyperlink r:id="rId17" w:tgtFrame="_blank" w:history="1">
        <w:r w:rsidRPr="00E2348C">
          <w:rPr>
            <w:rStyle w:val="Hyperlink"/>
          </w:rPr>
          <w:t>this brief video</w:t>
        </w:r>
      </w:hyperlink>
      <w:r w:rsidRPr="00E2348C">
        <w:t xml:space="preserve">. to familiarize yourself with our general safety practices. Please </w:t>
      </w:r>
      <w:r w:rsidRPr="00E2348C">
        <w:rPr>
          <w:b/>
          <w:bCs/>
        </w:rPr>
        <w:t>program the Public Safety number into your cell phone (253-566-5111)</w:t>
      </w:r>
      <w:r w:rsidRPr="00E2348C">
        <w:t xml:space="preserve"> or 5111 from any campus phone (If this number is inoperable due to an emergency, dial </w:t>
      </w:r>
      <w:r w:rsidRPr="00E2348C">
        <w:rPr>
          <w:b/>
          <w:bCs/>
        </w:rPr>
        <w:t>253-495-4146</w:t>
      </w:r>
      <w:r w:rsidRPr="00E2348C">
        <w:t xml:space="preserve">) and </w:t>
      </w:r>
      <w:hyperlink r:id="rId18" w:tgtFrame="_blank" w:history="1">
        <w:r w:rsidRPr="00E2348C">
          <w:rPr>
            <w:rStyle w:val="Hyperlink"/>
          </w:rPr>
          <w:t>sign up for TCC Alerts!</w:t>
        </w:r>
      </w:hyperlink>
      <w:r w:rsidRPr="00E2348C">
        <w:t xml:space="preserve"> to receive emergency notifications to your cell phone.</w:t>
      </w:r>
    </w:p>
    <w:p w14:paraId="41E8F9B9" w14:textId="77777777" w:rsidR="00E2348C" w:rsidRPr="00E2348C" w:rsidRDefault="00E2348C" w:rsidP="002C66B1">
      <w:pPr>
        <w:pStyle w:val="Heading1"/>
        <w:rPr>
          <w:rStyle w:val="IntenseReference"/>
        </w:rPr>
      </w:pPr>
      <w:bookmarkStart w:id="19" w:name="_Toc208488282"/>
      <w:r w:rsidRPr="00E2348C">
        <w:rPr>
          <w:rStyle w:val="IntenseReference"/>
        </w:rPr>
        <w:t>Syllabus Subject to Change</w:t>
      </w:r>
      <w:bookmarkEnd w:id="19"/>
    </w:p>
    <w:p w14:paraId="21C10128" w14:textId="77777777" w:rsidR="00E2348C" w:rsidRPr="00E2348C" w:rsidRDefault="00E2348C" w:rsidP="00E2348C">
      <w:r w:rsidRPr="00E2348C">
        <w:t>Please note: This syllabus is subject to change. Students will be notified of any changes as soon as possible using multiple means of communication. Please check Canvas for the most updated schedule and assignment list during the quarter.</w:t>
      </w:r>
    </w:p>
    <w:p w14:paraId="38D93212" w14:textId="77777777" w:rsidR="001318B5" w:rsidRDefault="001318B5"/>
    <w:sectPr w:rsidR="00131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494"/>
    <w:multiLevelType w:val="hybridMultilevel"/>
    <w:tmpl w:val="96BE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74EC"/>
    <w:multiLevelType w:val="multilevel"/>
    <w:tmpl w:val="CA6C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E3D3E"/>
    <w:multiLevelType w:val="multilevel"/>
    <w:tmpl w:val="4C3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E687B"/>
    <w:multiLevelType w:val="multilevel"/>
    <w:tmpl w:val="0998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D51E9"/>
    <w:multiLevelType w:val="multilevel"/>
    <w:tmpl w:val="626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C48EC"/>
    <w:multiLevelType w:val="multilevel"/>
    <w:tmpl w:val="A528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11C42"/>
    <w:multiLevelType w:val="multilevel"/>
    <w:tmpl w:val="AFC252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AF661E"/>
    <w:multiLevelType w:val="multilevel"/>
    <w:tmpl w:val="BC30F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25359"/>
    <w:multiLevelType w:val="multilevel"/>
    <w:tmpl w:val="A468D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F76CD"/>
    <w:multiLevelType w:val="multilevel"/>
    <w:tmpl w:val="DF02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3406E"/>
    <w:multiLevelType w:val="hybridMultilevel"/>
    <w:tmpl w:val="D932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C75CC"/>
    <w:multiLevelType w:val="multilevel"/>
    <w:tmpl w:val="CCF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85AD3"/>
    <w:multiLevelType w:val="multilevel"/>
    <w:tmpl w:val="0FACB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6C66B91"/>
    <w:multiLevelType w:val="hybridMultilevel"/>
    <w:tmpl w:val="B9A69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6C3D26"/>
    <w:multiLevelType w:val="multilevel"/>
    <w:tmpl w:val="25D4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A0879"/>
    <w:multiLevelType w:val="multilevel"/>
    <w:tmpl w:val="9258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F343C"/>
    <w:multiLevelType w:val="multilevel"/>
    <w:tmpl w:val="1B3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B1AF1"/>
    <w:multiLevelType w:val="multilevel"/>
    <w:tmpl w:val="AC4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00607"/>
    <w:multiLevelType w:val="multilevel"/>
    <w:tmpl w:val="BC1C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111EA"/>
    <w:multiLevelType w:val="multilevel"/>
    <w:tmpl w:val="C41C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42CB7"/>
    <w:multiLevelType w:val="multilevel"/>
    <w:tmpl w:val="2696BE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04E1F79"/>
    <w:multiLevelType w:val="multilevel"/>
    <w:tmpl w:val="4C7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831D1E"/>
    <w:multiLevelType w:val="multilevel"/>
    <w:tmpl w:val="87B0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88076">
    <w:abstractNumId w:val="17"/>
  </w:num>
  <w:num w:numId="2" w16cid:durableId="73018590">
    <w:abstractNumId w:val="15"/>
  </w:num>
  <w:num w:numId="3" w16cid:durableId="764305011">
    <w:abstractNumId w:val="12"/>
  </w:num>
  <w:num w:numId="4" w16cid:durableId="1596476685">
    <w:abstractNumId w:val="20"/>
  </w:num>
  <w:num w:numId="5" w16cid:durableId="1557007071">
    <w:abstractNumId w:val="21"/>
  </w:num>
  <w:num w:numId="6" w16cid:durableId="869957236">
    <w:abstractNumId w:val="3"/>
  </w:num>
  <w:num w:numId="7" w16cid:durableId="1983652885">
    <w:abstractNumId w:val="8"/>
  </w:num>
  <w:num w:numId="8" w16cid:durableId="275065795">
    <w:abstractNumId w:val="7"/>
  </w:num>
  <w:num w:numId="9" w16cid:durableId="477189031">
    <w:abstractNumId w:val="4"/>
  </w:num>
  <w:num w:numId="10" w16cid:durableId="904143605">
    <w:abstractNumId w:val="6"/>
  </w:num>
  <w:num w:numId="11" w16cid:durableId="428892108">
    <w:abstractNumId w:val="9"/>
  </w:num>
  <w:num w:numId="12" w16cid:durableId="1946618026">
    <w:abstractNumId w:val="19"/>
  </w:num>
  <w:num w:numId="13" w16cid:durableId="1585915575">
    <w:abstractNumId w:val="10"/>
  </w:num>
  <w:num w:numId="14" w16cid:durableId="610472449">
    <w:abstractNumId w:val="22"/>
  </w:num>
  <w:num w:numId="15" w16cid:durableId="1300838629">
    <w:abstractNumId w:val="11"/>
  </w:num>
  <w:num w:numId="16" w16cid:durableId="1897427361">
    <w:abstractNumId w:val="18"/>
  </w:num>
  <w:num w:numId="17" w16cid:durableId="1143813332">
    <w:abstractNumId w:val="2"/>
  </w:num>
  <w:num w:numId="18" w16cid:durableId="794566131">
    <w:abstractNumId w:val="16"/>
  </w:num>
  <w:num w:numId="19" w16cid:durableId="2125071850">
    <w:abstractNumId w:val="0"/>
  </w:num>
  <w:num w:numId="20" w16cid:durableId="1687515833">
    <w:abstractNumId w:val="1"/>
  </w:num>
  <w:num w:numId="21" w16cid:durableId="581329594">
    <w:abstractNumId w:val="14"/>
  </w:num>
  <w:num w:numId="22" w16cid:durableId="1098913625">
    <w:abstractNumId w:val="13"/>
  </w:num>
  <w:num w:numId="23" w16cid:durableId="502086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8C"/>
    <w:rsid w:val="00031B00"/>
    <w:rsid w:val="00073048"/>
    <w:rsid w:val="00076E89"/>
    <w:rsid w:val="000A5A66"/>
    <w:rsid w:val="000E3D8E"/>
    <w:rsid w:val="000F2AC6"/>
    <w:rsid w:val="0010738D"/>
    <w:rsid w:val="00124BAC"/>
    <w:rsid w:val="001318B5"/>
    <w:rsid w:val="00144F0E"/>
    <w:rsid w:val="001752FF"/>
    <w:rsid w:val="00196C70"/>
    <w:rsid w:val="00242D7C"/>
    <w:rsid w:val="00262CA0"/>
    <w:rsid w:val="002C66B1"/>
    <w:rsid w:val="002D223C"/>
    <w:rsid w:val="002E1999"/>
    <w:rsid w:val="00300280"/>
    <w:rsid w:val="00333EAA"/>
    <w:rsid w:val="00350FE4"/>
    <w:rsid w:val="00352032"/>
    <w:rsid w:val="00366784"/>
    <w:rsid w:val="00383E39"/>
    <w:rsid w:val="00393B21"/>
    <w:rsid w:val="00396A53"/>
    <w:rsid w:val="003A0C24"/>
    <w:rsid w:val="003E589A"/>
    <w:rsid w:val="003E79ED"/>
    <w:rsid w:val="00410349"/>
    <w:rsid w:val="00437BF3"/>
    <w:rsid w:val="00457C37"/>
    <w:rsid w:val="00485CED"/>
    <w:rsid w:val="004A1A63"/>
    <w:rsid w:val="004B03BB"/>
    <w:rsid w:val="004B3A58"/>
    <w:rsid w:val="004C03E2"/>
    <w:rsid w:val="00580177"/>
    <w:rsid w:val="00597EAF"/>
    <w:rsid w:val="005D2F2D"/>
    <w:rsid w:val="006838E2"/>
    <w:rsid w:val="00683FED"/>
    <w:rsid w:val="00690AC6"/>
    <w:rsid w:val="00732810"/>
    <w:rsid w:val="00734544"/>
    <w:rsid w:val="0079487D"/>
    <w:rsid w:val="007E68BF"/>
    <w:rsid w:val="00801AC5"/>
    <w:rsid w:val="008507D0"/>
    <w:rsid w:val="00907DF8"/>
    <w:rsid w:val="0091246A"/>
    <w:rsid w:val="00963F70"/>
    <w:rsid w:val="009A2DD8"/>
    <w:rsid w:val="009B5890"/>
    <w:rsid w:val="00A00C90"/>
    <w:rsid w:val="00A35DFC"/>
    <w:rsid w:val="00A8179C"/>
    <w:rsid w:val="00AB5DFA"/>
    <w:rsid w:val="00AD272C"/>
    <w:rsid w:val="00B56E86"/>
    <w:rsid w:val="00B8112E"/>
    <w:rsid w:val="00B95C16"/>
    <w:rsid w:val="00BD4E56"/>
    <w:rsid w:val="00BE1749"/>
    <w:rsid w:val="00C8789D"/>
    <w:rsid w:val="00CB3FFC"/>
    <w:rsid w:val="00D21A4C"/>
    <w:rsid w:val="00D3090D"/>
    <w:rsid w:val="00D80391"/>
    <w:rsid w:val="00D953BC"/>
    <w:rsid w:val="00DB2B7E"/>
    <w:rsid w:val="00DD49D6"/>
    <w:rsid w:val="00DE2A48"/>
    <w:rsid w:val="00E03E8D"/>
    <w:rsid w:val="00E137AF"/>
    <w:rsid w:val="00E2348C"/>
    <w:rsid w:val="00E45D96"/>
    <w:rsid w:val="00E9225E"/>
    <w:rsid w:val="00E953BD"/>
    <w:rsid w:val="00ED34A1"/>
    <w:rsid w:val="00FD4AB2"/>
    <w:rsid w:val="00FE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ACDB"/>
  <w15:chartTrackingRefBased/>
  <w15:docId w15:val="{ED0F6F09-A9AA-4762-8CF9-298580D5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2C66B1"/>
    <w:pPr>
      <w:keepNext/>
      <w:keepLines/>
      <w:spacing w:before="360"/>
      <w:outlineLvl w:val="0"/>
    </w:pPr>
    <w:rPr>
      <w:color w:val="2F5496" w:themeColor="accent1" w:themeShade="BF"/>
      <w:sz w:val="28"/>
      <w:szCs w:val="40"/>
    </w:rPr>
  </w:style>
  <w:style w:type="paragraph" w:styleId="Heading2">
    <w:name w:val="heading 2"/>
    <w:basedOn w:val="Normal"/>
    <w:next w:val="Normal"/>
    <w:link w:val="Heading2Char"/>
    <w:uiPriority w:val="9"/>
    <w:unhideWhenUsed/>
    <w:qFormat/>
    <w:rsid w:val="00E23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3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23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B1"/>
    <w:rPr>
      <w:rFonts w:asciiTheme="majorHAnsi" w:eastAsiaTheme="majorEastAsia" w:hAnsiTheme="majorHAnsi" w:cstheme="majorBidi"/>
      <w:color w:val="2F5496" w:themeColor="accent1" w:themeShade="BF"/>
      <w:spacing w:val="-10"/>
      <w:kern w:val="28"/>
      <w:sz w:val="28"/>
      <w:szCs w:val="40"/>
    </w:rPr>
  </w:style>
  <w:style w:type="character" w:customStyle="1" w:styleId="Heading2Char">
    <w:name w:val="Heading 2 Char"/>
    <w:basedOn w:val="DefaultParagraphFont"/>
    <w:link w:val="Heading2"/>
    <w:uiPriority w:val="9"/>
    <w:rsid w:val="00E23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3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23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48C"/>
    <w:rPr>
      <w:rFonts w:eastAsiaTheme="majorEastAsia" w:cstheme="majorBidi"/>
      <w:color w:val="272727" w:themeColor="text1" w:themeTint="D8"/>
    </w:rPr>
  </w:style>
  <w:style w:type="paragraph" w:styleId="Title">
    <w:name w:val="Title"/>
    <w:basedOn w:val="Normal"/>
    <w:next w:val="Normal"/>
    <w:link w:val="TitleChar"/>
    <w:uiPriority w:val="10"/>
    <w:qFormat/>
    <w:rsid w:val="00E2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8C"/>
    <w:pPr>
      <w:spacing w:before="160"/>
      <w:jc w:val="center"/>
    </w:pPr>
    <w:rPr>
      <w:i/>
      <w:iCs/>
      <w:color w:val="404040" w:themeColor="text1" w:themeTint="BF"/>
    </w:rPr>
  </w:style>
  <w:style w:type="character" w:customStyle="1" w:styleId="QuoteChar">
    <w:name w:val="Quote Char"/>
    <w:basedOn w:val="DefaultParagraphFont"/>
    <w:link w:val="Quote"/>
    <w:uiPriority w:val="29"/>
    <w:rsid w:val="00E2348C"/>
    <w:rPr>
      <w:i/>
      <w:iCs/>
      <w:color w:val="404040" w:themeColor="text1" w:themeTint="BF"/>
    </w:rPr>
  </w:style>
  <w:style w:type="paragraph" w:styleId="ListParagraph">
    <w:name w:val="List Paragraph"/>
    <w:basedOn w:val="Normal"/>
    <w:uiPriority w:val="34"/>
    <w:qFormat/>
    <w:rsid w:val="00E2348C"/>
    <w:pPr>
      <w:ind w:left="720"/>
      <w:contextualSpacing/>
    </w:pPr>
  </w:style>
  <w:style w:type="character" w:styleId="IntenseEmphasis">
    <w:name w:val="Intense Emphasis"/>
    <w:basedOn w:val="DefaultParagraphFont"/>
    <w:uiPriority w:val="21"/>
    <w:qFormat/>
    <w:rsid w:val="00E2348C"/>
    <w:rPr>
      <w:i/>
      <w:iCs/>
      <w:color w:val="2F5496" w:themeColor="accent1" w:themeShade="BF"/>
    </w:rPr>
  </w:style>
  <w:style w:type="paragraph" w:styleId="IntenseQuote">
    <w:name w:val="Intense Quote"/>
    <w:basedOn w:val="Normal"/>
    <w:next w:val="Normal"/>
    <w:link w:val="IntenseQuoteChar"/>
    <w:uiPriority w:val="30"/>
    <w:qFormat/>
    <w:rsid w:val="00E23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48C"/>
    <w:rPr>
      <w:i/>
      <w:iCs/>
      <w:color w:val="2F5496" w:themeColor="accent1" w:themeShade="BF"/>
    </w:rPr>
  </w:style>
  <w:style w:type="character" w:styleId="IntenseReference">
    <w:name w:val="Intense Reference"/>
    <w:aliases w:val="Heading A"/>
    <w:basedOn w:val="DefaultParagraphFont"/>
    <w:uiPriority w:val="32"/>
    <w:qFormat/>
    <w:rsid w:val="00E2348C"/>
    <w:rPr>
      <w:b/>
      <w:bCs/>
      <w:smallCaps/>
      <w:color w:val="2F5496" w:themeColor="accent1" w:themeShade="BF"/>
      <w:spacing w:val="5"/>
    </w:rPr>
  </w:style>
  <w:style w:type="character" w:styleId="Hyperlink">
    <w:name w:val="Hyperlink"/>
    <w:basedOn w:val="DefaultParagraphFont"/>
    <w:uiPriority w:val="99"/>
    <w:unhideWhenUsed/>
    <w:rsid w:val="00E2348C"/>
    <w:rPr>
      <w:color w:val="0563C1" w:themeColor="hyperlink"/>
      <w:u w:val="single"/>
    </w:rPr>
  </w:style>
  <w:style w:type="character" w:styleId="UnresolvedMention">
    <w:name w:val="Unresolved Mention"/>
    <w:basedOn w:val="DefaultParagraphFont"/>
    <w:uiPriority w:val="99"/>
    <w:semiHidden/>
    <w:unhideWhenUsed/>
    <w:rsid w:val="00E2348C"/>
    <w:rPr>
      <w:color w:val="605E5C"/>
      <w:shd w:val="clear" w:color="auto" w:fill="E1DFDD"/>
    </w:rPr>
  </w:style>
  <w:style w:type="character" w:styleId="PlaceholderText">
    <w:name w:val="Placeholder Text"/>
    <w:basedOn w:val="DefaultParagraphFont"/>
    <w:uiPriority w:val="99"/>
    <w:semiHidden/>
    <w:rsid w:val="00E2348C"/>
    <w:rPr>
      <w:color w:val="666666"/>
    </w:rPr>
  </w:style>
  <w:style w:type="paragraph" w:styleId="NormalWeb">
    <w:name w:val="Normal (Web)"/>
    <w:basedOn w:val="Normal"/>
    <w:uiPriority w:val="99"/>
    <w:semiHidden/>
    <w:unhideWhenUsed/>
    <w:rsid w:val="003A0C2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E1749"/>
    <w:rPr>
      <w:sz w:val="16"/>
      <w:szCs w:val="16"/>
    </w:rPr>
  </w:style>
  <w:style w:type="paragraph" w:styleId="CommentText">
    <w:name w:val="annotation text"/>
    <w:basedOn w:val="Normal"/>
    <w:link w:val="CommentTextChar"/>
    <w:uiPriority w:val="99"/>
    <w:unhideWhenUsed/>
    <w:rsid w:val="00BE1749"/>
    <w:pPr>
      <w:spacing w:line="240" w:lineRule="auto"/>
    </w:pPr>
    <w:rPr>
      <w:sz w:val="20"/>
      <w:szCs w:val="20"/>
    </w:rPr>
  </w:style>
  <w:style w:type="character" w:customStyle="1" w:styleId="CommentTextChar">
    <w:name w:val="Comment Text Char"/>
    <w:basedOn w:val="DefaultParagraphFont"/>
    <w:link w:val="CommentText"/>
    <w:uiPriority w:val="99"/>
    <w:rsid w:val="00BE1749"/>
    <w:rPr>
      <w:sz w:val="20"/>
      <w:szCs w:val="20"/>
    </w:rPr>
  </w:style>
  <w:style w:type="paragraph" w:styleId="CommentSubject">
    <w:name w:val="annotation subject"/>
    <w:basedOn w:val="CommentText"/>
    <w:next w:val="CommentText"/>
    <w:link w:val="CommentSubjectChar"/>
    <w:uiPriority w:val="99"/>
    <w:semiHidden/>
    <w:unhideWhenUsed/>
    <w:rsid w:val="00BE1749"/>
    <w:rPr>
      <w:b/>
      <w:bCs/>
    </w:rPr>
  </w:style>
  <w:style w:type="character" w:customStyle="1" w:styleId="CommentSubjectChar">
    <w:name w:val="Comment Subject Char"/>
    <w:basedOn w:val="CommentTextChar"/>
    <w:link w:val="CommentSubject"/>
    <w:uiPriority w:val="99"/>
    <w:semiHidden/>
    <w:rsid w:val="00BE1749"/>
    <w:rPr>
      <w:b/>
      <w:bCs/>
      <w:sz w:val="20"/>
      <w:szCs w:val="20"/>
    </w:rPr>
  </w:style>
  <w:style w:type="paragraph" w:styleId="TOCHeading">
    <w:name w:val="TOC Heading"/>
    <w:basedOn w:val="Heading1"/>
    <w:next w:val="Normal"/>
    <w:uiPriority w:val="39"/>
    <w:unhideWhenUsed/>
    <w:qFormat/>
    <w:rsid w:val="002C66B1"/>
    <w:pPr>
      <w:spacing w:before="240" w:after="0"/>
      <w:outlineLvl w:val="9"/>
    </w:pPr>
    <w:rPr>
      <w:sz w:val="32"/>
      <w:szCs w:val="32"/>
    </w:rPr>
  </w:style>
  <w:style w:type="paragraph" w:styleId="TOC2">
    <w:name w:val="toc 2"/>
    <w:basedOn w:val="Normal"/>
    <w:next w:val="Normal"/>
    <w:autoRedefine/>
    <w:uiPriority w:val="39"/>
    <w:unhideWhenUsed/>
    <w:rsid w:val="002C66B1"/>
    <w:pPr>
      <w:spacing w:after="100"/>
      <w:ind w:left="220"/>
    </w:pPr>
    <w:rPr>
      <w:rFonts w:eastAsiaTheme="minorEastAsia" w:cs="Times New Roman"/>
    </w:rPr>
  </w:style>
  <w:style w:type="paragraph" w:styleId="TOC1">
    <w:name w:val="toc 1"/>
    <w:basedOn w:val="Normal"/>
    <w:next w:val="Normal"/>
    <w:autoRedefine/>
    <w:uiPriority w:val="39"/>
    <w:unhideWhenUsed/>
    <w:rsid w:val="002C66B1"/>
    <w:pPr>
      <w:spacing w:after="100"/>
    </w:pPr>
    <w:rPr>
      <w:rFonts w:eastAsiaTheme="minorEastAsia" w:cs="Times New Roman"/>
    </w:rPr>
  </w:style>
  <w:style w:type="paragraph" w:styleId="TOC3">
    <w:name w:val="toc 3"/>
    <w:basedOn w:val="Normal"/>
    <w:next w:val="Normal"/>
    <w:autoRedefine/>
    <w:uiPriority w:val="39"/>
    <w:unhideWhenUsed/>
    <w:rsid w:val="002C66B1"/>
    <w:pPr>
      <w:spacing w:after="100"/>
      <w:ind w:left="440"/>
    </w:pPr>
    <w:rPr>
      <w:rFonts w:eastAsiaTheme="minorEastAsia" w:cs="Times New Roman"/>
    </w:rPr>
  </w:style>
  <w:style w:type="table" w:styleId="TableGrid">
    <w:name w:val="Table Grid"/>
    <w:basedOn w:val="TableNormal"/>
    <w:uiPriority w:val="39"/>
    <w:rsid w:val="009B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8588">
      <w:bodyDiv w:val="1"/>
      <w:marLeft w:val="0"/>
      <w:marRight w:val="0"/>
      <w:marTop w:val="0"/>
      <w:marBottom w:val="0"/>
      <w:divBdr>
        <w:top w:val="none" w:sz="0" w:space="0" w:color="auto"/>
        <w:left w:val="none" w:sz="0" w:space="0" w:color="auto"/>
        <w:bottom w:val="none" w:sz="0" w:space="0" w:color="auto"/>
        <w:right w:val="none" w:sz="0" w:space="0" w:color="auto"/>
      </w:divBdr>
    </w:div>
    <w:div w:id="1462382817">
      <w:bodyDiv w:val="1"/>
      <w:marLeft w:val="0"/>
      <w:marRight w:val="0"/>
      <w:marTop w:val="0"/>
      <w:marBottom w:val="0"/>
      <w:divBdr>
        <w:top w:val="none" w:sz="0" w:space="0" w:color="auto"/>
        <w:left w:val="none" w:sz="0" w:space="0" w:color="auto"/>
        <w:bottom w:val="none" w:sz="0" w:space="0" w:color="auto"/>
        <w:right w:val="none" w:sz="0" w:space="0" w:color="auto"/>
      </w:divBdr>
    </w:div>
    <w:div w:id="1738287755">
      <w:bodyDiv w:val="1"/>
      <w:marLeft w:val="0"/>
      <w:marRight w:val="0"/>
      <w:marTop w:val="0"/>
      <w:marBottom w:val="0"/>
      <w:divBdr>
        <w:top w:val="none" w:sz="0" w:space="0" w:color="auto"/>
        <w:left w:val="none" w:sz="0" w:space="0" w:color="auto"/>
        <w:bottom w:val="none" w:sz="0" w:space="0" w:color="auto"/>
        <w:right w:val="none" w:sz="0" w:space="0" w:color="auto"/>
      </w:divBdr>
    </w:div>
    <w:div w:id="192919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omacc.edu/about/policies/leave-for-faith-and-conscience" TargetMode="External"/><Relationship Id="rId13" Type="http://schemas.openxmlformats.org/officeDocument/2006/relationships/hyperlink" Target="https://www.tacomacc.edu/about/policies/administrative-procedure-for-academic-dishonesty" TargetMode="External"/><Relationship Id="rId18" Type="http://schemas.openxmlformats.org/officeDocument/2006/relationships/hyperlink" Target="https://www.tacomacc.edu/tcc-life/campus-services/campus-safety" TargetMode="External"/><Relationship Id="rId3" Type="http://schemas.openxmlformats.org/officeDocument/2006/relationships/styles" Target="styles.xml"/><Relationship Id="rId7" Type="http://schemas.openxmlformats.org/officeDocument/2006/relationships/hyperlink" Target="https://www.tacomacc.edu/about/policies/tcc-classroom-standards" TargetMode="External"/><Relationship Id="rId12" Type="http://schemas.openxmlformats.org/officeDocument/2006/relationships/hyperlink" Target="https://www.tacomacc.edu/about/policies/final-course-grade-appeal-policy" TargetMode="External"/><Relationship Id="rId17" Type="http://schemas.openxmlformats.org/officeDocument/2006/relationships/hyperlink" Target="https://vimeo.com/99287407" TargetMode="External"/><Relationship Id="rId2" Type="http://schemas.openxmlformats.org/officeDocument/2006/relationships/numbering" Target="numbering.xml"/><Relationship Id="rId16" Type="http://schemas.openxmlformats.org/officeDocument/2006/relationships/hyperlink" Target="https://www.tacomacc.edu/tcc-life/campus-services/tcc_rea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henley@tacomacc.edu." TargetMode="External"/><Relationship Id="rId5" Type="http://schemas.openxmlformats.org/officeDocument/2006/relationships/webSettings" Target="webSettings.xml"/><Relationship Id="rId15" Type="http://schemas.openxmlformats.org/officeDocument/2006/relationships/hyperlink" Target="mailto:access@tacomacc.edu" TargetMode="External"/><Relationship Id="rId10" Type="http://schemas.openxmlformats.org/officeDocument/2006/relationships/hyperlink" Target="mailto:hgillanders@tacomac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comacc.edu/about/policies/tcc-classroom-standards" TargetMode="External"/><Relationship Id="rId14" Type="http://schemas.openxmlformats.org/officeDocument/2006/relationships/hyperlink" Target="https://tacomacc.instructure.com/courses/1687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F30A3-6B24-4656-94DF-6C042C12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4379</Words>
  <Characters>24962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 Bluemer</dc:creator>
  <cp:keywords/>
  <dc:description/>
  <cp:lastModifiedBy>Hamilton, Joshua</cp:lastModifiedBy>
  <cp:revision>2</cp:revision>
  <dcterms:created xsi:type="dcterms:W3CDTF">2025-09-23T22:05:00Z</dcterms:created>
  <dcterms:modified xsi:type="dcterms:W3CDTF">2025-09-23T22:05:00Z</dcterms:modified>
</cp:coreProperties>
</file>